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9C563" w14:textId="77777777" w:rsidR="00FB3B06" w:rsidRPr="00277C2F" w:rsidRDefault="00FB3B06" w:rsidP="006464A0">
      <w:pPr>
        <w:spacing w:after="0" w:line="240" w:lineRule="auto"/>
        <w:jc w:val="center"/>
        <w:rPr>
          <w:rFonts w:eastAsia="Times New Roman" w:cs="Arial"/>
          <w:b/>
          <w:sz w:val="24"/>
          <w:szCs w:val="24"/>
          <w:lang w:eastAsia="hr-HR"/>
        </w:rPr>
      </w:pPr>
      <w:bookmarkStart w:id="0" w:name="_GoBack"/>
      <w:bookmarkEnd w:id="0"/>
      <w:r w:rsidRPr="00277C2F">
        <w:rPr>
          <w:rFonts w:eastAsia="Times New Roman" w:cs="Arial"/>
          <w:b/>
          <w:sz w:val="24"/>
          <w:szCs w:val="24"/>
          <w:lang w:eastAsia="hr-HR"/>
        </w:rPr>
        <w:t>REPUBLIKA HRVATSKA</w:t>
      </w:r>
    </w:p>
    <w:p w14:paraId="10E62B61" w14:textId="77777777" w:rsidR="00FB3B06" w:rsidRPr="00277C2F" w:rsidRDefault="00FB3B06" w:rsidP="006464A0">
      <w:pPr>
        <w:spacing w:after="0" w:line="240" w:lineRule="auto"/>
        <w:jc w:val="center"/>
        <w:rPr>
          <w:rFonts w:eastAsia="Times New Roman" w:cs="Arial"/>
          <w:b/>
          <w:sz w:val="24"/>
          <w:szCs w:val="24"/>
          <w:lang w:eastAsia="hr-HR"/>
        </w:rPr>
      </w:pPr>
      <w:r w:rsidRPr="00277C2F">
        <w:rPr>
          <w:rFonts w:eastAsia="Times New Roman" w:cs="Arial"/>
          <w:b/>
          <w:sz w:val="24"/>
          <w:szCs w:val="24"/>
          <w:lang w:eastAsia="hr-HR"/>
        </w:rPr>
        <w:t>MINISTARSTVO FINANCIJA</w:t>
      </w:r>
    </w:p>
    <w:p w14:paraId="691AD57E" w14:textId="77777777" w:rsidR="00FB3B06" w:rsidRPr="00277C2F" w:rsidRDefault="00FB3B06" w:rsidP="006464A0">
      <w:pPr>
        <w:pBdr>
          <w:bottom w:val="single" w:sz="12" w:space="1" w:color="auto"/>
        </w:pBdr>
        <w:spacing w:after="0" w:line="240" w:lineRule="auto"/>
        <w:jc w:val="center"/>
        <w:rPr>
          <w:rFonts w:eastAsia="Times New Roman" w:cs="Arial"/>
          <w:b/>
          <w:sz w:val="24"/>
          <w:szCs w:val="24"/>
          <w:lang w:eastAsia="hr-HR"/>
        </w:rPr>
      </w:pPr>
      <w:r w:rsidRPr="00277C2F">
        <w:rPr>
          <w:rFonts w:eastAsia="Times New Roman" w:cs="Arial"/>
          <w:b/>
          <w:sz w:val="24"/>
          <w:szCs w:val="24"/>
          <w:lang w:eastAsia="hr-HR"/>
        </w:rPr>
        <w:t>DRŽAVNA RIZNICA</w:t>
      </w:r>
    </w:p>
    <w:p w14:paraId="457D37E3" w14:textId="77777777" w:rsidR="00FB3B06" w:rsidRPr="00277C2F" w:rsidRDefault="00FB3B06" w:rsidP="006464A0">
      <w:pPr>
        <w:spacing w:after="0" w:line="240" w:lineRule="auto"/>
        <w:jc w:val="center"/>
        <w:rPr>
          <w:rFonts w:eastAsia="Times New Roman" w:cs="Arial"/>
          <w:b/>
          <w:sz w:val="24"/>
          <w:szCs w:val="24"/>
          <w:lang w:eastAsia="hr-HR"/>
        </w:rPr>
      </w:pPr>
    </w:p>
    <w:p w14:paraId="6FD5D5A1" w14:textId="77777777" w:rsidR="00FB3B06" w:rsidRPr="00277C2F" w:rsidRDefault="00FB3B06" w:rsidP="006464A0">
      <w:pPr>
        <w:spacing w:after="0" w:line="240" w:lineRule="auto"/>
        <w:jc w:val="center"/>
        <w:rPr>
          <w:rFonts w:eastAsia="Times New Roman" w:cs="Arial"/>
          <w:b/>
          <w:sz w:val="24"/>
          <w:szCs w:val="24"/>
          <w:lang w:eastAsia="hr-HR"/>
        </w:rPr>
      </w:pPr>
    </w:p>
    <w:p w14:paraId="79717D57" w14:textId="77777777" w:rsidR="00FB3B06" w:rsidRPr="00277C2F" w:rsidRDefault="00FB3B06" w:rsidP="006464A0">
      <w:pPr>
        <w:spacing w:after="0" w:line="240" w:lineRule="auto"/>
        <w:jc w:val="center"/>
        <w:rPr>
          <w:rFonts w:eastAsia="Times New Roman" w:cs="Arial"/>
          <w:b/>
          <w:sz w:val="24"/>
          <w:szCs w:val="24"/>
          <w:lang w:eastAsia="hr-HR"/>
        </w:rPr>
      </w:pPr>
    </w:p>
    <w:p w14:paraId="11E27C8D" w14:textId="77777777" w:rsidR="00FB3B06" w:rsidRPr="00277C2F" w:rsidRDefault="00FB3B06" w:rsidP="006464A0">
      <w:pPr>
        <w:spacing w:after="0" w:line="240" w:lineRule="auto"/>
        <w:jc w:val="center"/>
        <w:rPr>
          <w:rFonts w:eastAsia="Times New Roman" w:cs="Arial"/>
          <w:b/>
          <w:sz w:val="24"/>
          <w:szCs w:val="24"/>
          <w:lang w:eastAsia="hr-HR"/>
        </w:rPr>
      </w:pPr>
    </w:p>
    <w:p w14:paraId="38D0F022" w14:textId="77777777" w:rsidR="00FB3B06" w:rsidRPr="00277C2F" w:rsidRDefault="00FB3B06" w:rsidP="006464A0">
      <w:pPr>
        <w:spacing w:after="0" w:line="240" w:lineRule="auto"/>
        <w:jc w:val="center"/>
        <w:rPr>
          <w:rFonts w:eastAsia="Times New Roman" w:cs="Arial"/>
          <w:b/>
          <w:sz w:val="24"/>
          <w:szCs w:val="24"/>
          <w:lang w:eastAsia="hr-HR"/>
        </w:rPr>
      </w:pPr>
    </w:p>
    <w:p w14:paraId="42992A0F" w14:textId="77777777" w:rsidR="00FB3B06" w:rsidRPr="00277C2F" w:rsidRDefault="00FB3B06" w:rsidP="006464A0">
      <w:pPr>
        <w:spacing w:after="0" w:line="240" w:lineRule="auto"/>
        <w:jc w:val="center"/>
        <w:rPr>
          <w:rFonts w:eastAsia="Times New Roman" w:cs="Arial"/>
          <w:b/>
          <w:sz w:val="24"/>
          <w:szCs w:val="24"/>
          <w:lang w:eastAsia="hr-HR"/>
        </w:rPr>
      </w:pPr>
    </w:p>
    <w:p w14:paraId="08EF55E6" w14:textId="77777777" w:rsidR="00FB3B06" w:rsidRPr="00277C2F" w:rsidRDefault="00FB3B06" w:rsidP="006464A0">
      <w:pPr>
        <w:spacing w:after="0" w:line="240" w:lineRule="auto"/>
        <w:jc w:val="center"/>
        <w:rPr>
          <w:rFonts w:eastAsia="Times New Roman" w:cs="Arial"/>
          <w:b/>
          <w:sz w:val="24"/>
          <w:szCs w:val="24"/>
          <w:lang w:eastAsia="hr-HR"/>
        </w:rPr>
      </w:pPr>
    </w:p>
    <w:p w14:paraId="60BF00DD" w14:textId="77777777" w:rsidR="00FB3B06" w:rsidRPr="00277C2F" w:rsidRDefault="00FB3B06" w:rsidP="006464A0">
      <w:pPr>
        <w:spacing w:after="0" w:line="240" w:lineRule="auto"/>
        <w:jc w:val="center"/>
        <w:rPr>
          <w:rFonts w:eastAsia="Times New Roman" w:cs="Arial"/>
          <w:b/>
          <w:sz w:val="24"/>
          <w:szCs w:val="24"/>
          <w:lang w:eastAsia="hr-HR"/>
        </w:rPr>
      </w:pPr>
    </w:p>
    <w:p w14:paraId="1A9113DA" w14:textId="77777777" w:rsidR="00FB3B06" w:rsidRPr="00277C2F" w:rsidRDefault="00FB3B06" w:rsidP="006464A0">
      <w:pPr>
        <w:spacing w:after="0" w:line="240" w:lineRule="auto"/>
        <w:jc w:val="center"/>
        <w:rPr>
          <w:rFonts w:eastAsia="Times New Roman" w:cs="Arial"/>
          <w:b/>
          <w:sz w:val="24"/>
          <w:szCs w:val="24"/>
          <w:lang w:eastAsia="hr-HR"/>
        </w:rPr>
      </w:pPr>
    </w:p>
    <w:p w14:paraId="4AB34572" w14:textId="77777777" w:rsidR="00FB3B06" w:rsidRPr="00277C2F" w:rsidRDefault="00FB3B06" w:rsidP="006464A0">
      <w:pPr>
        <w:spacing w:after="0" w:line="240" w:lineRule="auto"/>
        <w:jc w:val="center"/>
        <w:rPr>
          <w:rFonts w:eastAsia="Times New Roman" w:cs="Arial"/>
          <w:b/>
          <w:sz w:val="24"/>
          <w:szCs w:val="24"/>
          <w:lang w:eastAsia="hr-HR"/>
        </w:rPr>
      </w:pPr>
    </w:p>
    <w:p w14:paraId="5A7C098B" w14:textId="77777777" w:rsidR="00FB3B06" w:rsidRPr="00277C2F" w:rsidRDefault="00FB3B06" w:rsidP="006464A0">
      <w:pPr>
        <w:spacing w:after="0" w:line="240" w:lineRule="auto"/>
        <w:jc w:val="center"/>
        <w:rPr>
          <w:rFonts w:eastAsia="Times New Roman" w:cs="Arial"/>
          <w:b/>
          <w:sz w:val="24"/>
          <w:szCs w:val="24"/>
          <w:lang w:eastAsia="hr-HR"/>
        </w:rPr>
      </w:pPr>
    </w:p>
    <w:p w14:paraId="6386FF3F" w14:textId="77777777" w:rsidR="00FB3B06" w:rsidRPr="00277C2F" w:rsidRDefault="00FB3B06" w:rsidP="006464A0">
      <w:pPr>
        <w:spacing w:after="0" w:line="240" w:lineRule="auto"/>
        <w:jc w:val="center"/>
        <w:rPr>
          <w:rFonts w:eastAsia="Times New Roman" w:cs="Arial"/>
          <w:b/>
          <w:sz w:val="24"/>
          <w:szCs w:val="24"/>
          <w:lang w:eastAsia="hr-HR"/>
        </w:rPr>
      </w:pPr>
    </w:p>
    <w:p w14:paraId="4CFB075A" w14:textId="77777777" w:rsidR="00FB3B06" w:rsidRPr="00277C2F" w:rsidRDefault="00FB3B06" w:rsidP="006464A0">
      <w:pPr>
        <w:spacing w:after="0" w:line="240" w:lineRule="auto"/>
        <w:jc w:val="center"/>
        <w:rPr>
          <w:rFonts w:eastAsia="Times New Roman" w:cs="Arial"/>
          <w:b/>
          <w:sz w:val="24"/>
          <w:szCs w:val="24"/>
          <w:lang w:eastAsia="hr-HR"/>
        </w:rPr>
      </w:pPr>
    </w:p>
    <w:p w14:paraId="5555DE03" w14:textId="77777777" w:rsidR="00FB3B06" w:rsidRPr="00277C2F" w:rsidRDefault="00FB3B06" w:rsidP="006464A0">
      <w:pPr>
        <w:spacing w:after="0" w:line="240" w:lineRule="auto"/>
        <w:jc w:val="center"/>
        <w:rPr>
          <w:rFonts w:eastAsia="Times New Roman" w:cs="Arial"/>
          <w:b/>
          <w:sz w:val="24"/>
          <w:szCs w:val="24"/>
          <w:lang w:eastAsia="hr-HR"/>
        </w:rPr>
      </w:pPr>
    </w:p>
    <w:p w14:paraId="5A32FC85" w14:textId="77777777" w:rsidR="00FB3B06" w:rsidRPr="00277C2F" w:rsidRDefault="00FB3B06" w:rsidP="006464A0">
      <w:pPr>
        <w:spacing w:after="0" w:line="240" w:lineRule="auto"/>
        <w:jc w:val="center"/>
        <w:rPr>
          <w:rFonts w:eastAsia="Times New Roman" w:cs="Arial"/>
          <w:b/>
          <w:sz w:val="24"/>
          <w:szCs w:val="24"/>
          <w:lang w:eastAsia="hr-HR"/>
        </w:rPr>
      </w:pPr>
    </w:p>
    <w:p w14:paraId="710E5594" w14:textId="77777777" w:rsidR="00FB3B06" w:rsidRPr="00277C2F" w:rsidRDefault="00FB3B06" w:rsidP="006464A0">
      <w:pPr>
        <w:spacing w:after="0" w:line="240" w:lineRule="auto"/>
        <w:jc w:val="center"/>
        <w:rPr>
          <w:rFonts w:eastAsia="Times New Roman" w:cs="Arial"/>
          <w:b/>
          <w:sz w:val="24"/>
          <w:szCs w:val="24"/>
          <w:lang w:eastAsia="hr-HR"/>
        </w:rPr>
      </w:pPr>
    </w:p>
    <w:p w14:paraId="4DF5F1BF" w14:textId="77777777" w:rsidR="00FB3B06" w:rsidRPr="00277C2F" w:rsidRDefault="00FB3B06" w:rsidP="006464A0">
      <w:pPr>
        <w:spacing w:after="0" w:line="240" w:lineRule="auto"/>
        <w:jc w:val="center"/>
        <w:rPr>
          <w:rFonts w:eastAsia="Times New Roman" w:cs="Arial"/>
          <w:b/>
          <w:sz w:val="24"/>
          <w:szCs w:val="24"/>
          <w:lang w:eastAsia="hr-HR"/>
        </w:rPr>
      </w:pPr>
    </w:p>
    <w:p w14:paraId="6F480446" w14:textId="77777777" w:rsidR="00FB3B06" w:rsidRPr="00277C2F" w:rsidRDefault="00FB3B06" w:rsidP="006464A0">
      <w:pPr>
        <w:spacing w:after="0" w:line="240" w:lineRule="auto"/>
        <w:jc w:val="center"/>
        <w:rPr>
          <w:rFonts w:eastAsia="Times New Roman" w:cs="Arial"/>
          <w:b/>
          <w:sz w:val="24"/>
          <w:szCs w:val="24"/>
          <w:lang w:eastAsia="hr-HR"/>
        </w:rPr>
      </w:pPr>
    </w:p>
    <w:p w14:paraId="38D8F41B" w14:textId="77777777" w:rsidR="00FB3B06" w:rsidRPr="00277C2F" w:rsidRDefault="00FB3B06" w:rsidP="006464A0">
      <w:pPr>
        <w:spacing w:after="0" w:line="240" w:lineRule="auto"/>
        <w:jc w:val="center"/>
        <w:rPr>
          <w:rFonts w:eastAsia="Times New Roman" w:cs="Arial"/>
          <w:b/>
          <w:sz w:val="28"/>
          <w:szCs w:val="24"/>
          <w:lang w:eastAsia="hr-HR"/>
        </w:rPr>
      </w:pPr>
    </w:p>
    <w:p w14:paraId="76198141" w14:textId="77777777" w:rsidR="00FB3B06" w:rsidRPr="00277C2F" w:rsidRDefault="00FB3B06" w:rsidP="006464A0">
      <w:pPr>
        <w:spacing w:after="0" w:line="240" w:lineRule="auto"/>
        <w:jc w:val="center"/>
        <w:rPr>
          <w:rFonts w:eastAsia="Times New Roman" w:cs="Arial"/>
          <w:b/>
          <w:sz w:val="28"/>
          <w:szCs w:val="24"/>
          <w:lang w:eastAsia="hr-HR"/>
        </w:rPr>
      </w:pPr>
      <w:r w:rsidRPr="00277C2F">
        <w:rPr>
          <w:rFonts w:eastAsia="Times New Roman" w:cs="Arial"/>
          <w:b/>
          <w:sz w:val="28"/>
          <w:szCs w:val="24"/>
          <w:lang w:eastAsia="hr-HR"/>
        </w:rPr>
        <w:t xml:space="preserve">UPUTE ZA IZRADU PRORAČUNA </w:t>
      </w:r>
    </w:p>
    <w:p w14:paraId="4B808576" w14:textId="77777777" w:rsidR="00FB3B06" w:rsidRPr="00277C2F" w:rsidRDefault="00FB3B06" w:rsidP="006464A0">
      <w:pPr>
        <w:spacing w:after="0" w:line="240" w:lineRule="auto"/>
        <w:jc w:val="center"/>
        <w:rPr>
          <w:rFonts w:eastAsia="Times New Roman" w:cs="Arial"/>
          <w:b/>
          <w:sz w:val="28"/>
          <w:szCs w:val="24"/>
          <w:lang w:eastAsia="hr-HR"/>
        </w:rPr>
      </w:pPr>
    </w:p>
    <w:p w14:paraId="1C8CDA9C" w14:textId="77777777" w:rsidR="00FB3B06" w:rsidRPr="00277C2F" w:rsidRDefault="00FB3B06" w:rsidP="006464A0">
      <w:pPr>
        <w:spacing w:after="0" w:line="240" w:lineRule="auto"/>
        <w:jc w:val="center"/>
        <w:rPr>
          <w:rFonts w:eastAsia="Times New Roman" w:cs="Arial"/>
          <w:b/>
          <w:sz w:val="28"/>
          <w:szCs w:val="24"/>
          <w:lang w:eastAsia="hr-HR"/>
        </w:rPr>
      </w:pPr>
      <w:r w:rsidRPr="00277C2F">
        <w:rPr>
          <w:rFonts w:eastAsia="Times New Roman" w:cs="Arial"/>
          <w:b/>
          <w:sz w:val="28"/>
          <w:szCs w:val="24"/>
          <w:lang w:eastAsia="hr-HR"/>
        </w:rPr>
        <w:t>JEDINICA LOKALNE I PODRUČNE (REGIONALNE) SAMOUPRAVE</w:t>
      </w:r>
    </w:p>
    <w:p w14:paraId="62AB44DF" w14:textId="77777777" w:rsidR="00FB3B06" w:rsidRPr="00277C2F" w:rsidRDefault="00FB3B06" w:rsidP="006464A0">
      <w:pPr>
        <w:spacing w:after="0" w:line="240" w:lineRule="auto"/>
        <w:jc w:val="center"/>
        <w:rPr>
          <w:rFonts w:eastAsia="Times New Roman" w:cs="Arial"/>
          <w:b/>
          <w:sz w:val="28"/>
          <w:szCs w:val="24"/>
          <w:lang w:eastAsia="hr-HR"/>
        </w:rPr>
      </w:pPr>
    </w:p>
    <w:p w14:paraId="5F7E13AC" w14:textId="77777777" w:rsidR="00FB3B06" w:rsidRPr="00277C2F" w:rsidRDefault="00FB3B06" w:rsidP="006464A0">
      <w:pPr>
        <w:spacing w:after="0" w:line="240" w:lineRule="auto"/>
        <w:jc w:val="center"/>
        <w:rPr>
          <w:rFonts w:eastAsia="Times New Roman" w:cs="Arial"/>
          <w:b/>
          <w:sz w:val="28"/>
          <w:szCs w:val="24"/>
          <w:lang w:eastAsia="hr-HR"/>
        </w:rPr>
      </w:pPr>
      <w:r w:rsidRPr="00277C2F">
        <w:rPr>
          <w:rFonts w:eastAsia="Times New Roman" w:cs="Arial"/>
          <w:b/>
          <w:sz w:val="28"/>
          <w:szCs w:val="24"/>
          <w:lang w:eastAsia="hr-HR"/>
        </w:rPr>
        <w:t xml:space="preserve">ZA RAZDOBLJE </w:t>
      </w:r>
      <w:r w:rsidRPr="00526125">
        <w:rPr>
          <w:rFonts w:eastAsia="Times New Roman" w:cs="Arial"/>
          <w:b/>
          <w:sz w:val="28"/>
          <w:szCs w:val="24"/>
          <w:lang w:eastAsia="hr-HR"/>
        </w:rPr>
        <w:t>20</w:t>
      </w:r>
      <w:r w:rsidR="002528C5">
        <w:rPr>
          <w:rFonts w:eastAsia="Times New Roman" w:cs="Arial"/>
          <w:b/>
          <w:sz w:val="28"/>
          <w:szCs w:val="24"/>
          <w:lang w:eastAsia="hr-HR"/>
        </w:rPr>
        <w:t>20</w:t>
      </w:r>
      <w:r w:rsidRPr="00526125">
        <w:rPr>
          <w:rFonts w:eastAsia="Times New Roman" w:cs="Arial"/>
          <w:b/>
          <w:sz w:val="28"/>
          <w:szCs w:val="24"/>
          <w:lang w:eastAsia="hr-HR"/>
        </w:rPr>
        <w:t>. - 20</w:t>
      </w:r>
      <w:r w:rsidR="002528C5">
        <w:rPr>
          <w:rFonts w:eastAsia="Times New Roman" w:cs="Arial"/>
          <w:b/>
          <w:sz w:val="28"/>
          <w:szCs w:val="24"/>
          <w:lang w:eastAsia="hr-HR"/>
        </w:rPr>
        <w:t>22</w:t>
      </w:r>
      <w:r w:rsidRPr="00526125">
        <w:rPr>
          <w:rFonts w:eastAsia="Times New Roman" w:cs="Arial"/>
          <w:b/>
          <w:sz w:val="28"/>
          <w:szCs w:val="24"/>
          <w:lang w:eastAsia="hr-HR"/>
        </w:rPr>
        <w:t>.</w:t>
      </w:r>
    </w:p>
    <w:p w14:paraId="02C5A693" w14:textId="77777777" w:rsidR="00FB3B06" w:rsidRPr="00277C2F" w:rsidRDefault="00FB3B06" w:rsidP="006464A0">
      <w:pPr>
        <w:spacing w:after="0" w:line="240" w:lineRule="auto"/>
        <w:jc w:val="center"/>
        <w:rPr>
          <w:rFonts w:eastAsia="Times New Roman" w:cs="Arial"/>
          <w:b/>
          <w:sz w:val="24"/>
          <w:szCs w:val="24"/>
          <w:lang w:eastAsia="hr-HR"/>
        </w:rPr>
      </w:pPr>
    </w:p>
    <w:p w14:paraId="7393F6E4" w14:textId="77777777" w:rsidR="00FB3B06" w:rsidRPr="00277C2F" w:rsidRDefault="00FB3B06" w:rsidP="006464A0">
      <w:pPr>
        <w:spacing w:after="0" w:line="240" w:lineRule="auto"/>
        <w:jc w:val="center"/>
        <w:rPr>
          <w:rFonts w:eastAsia="Times New Roman" w:cs="Arial"/>
          <w:b/>
          <w:sz w:val="24"/>
          <w:szCs w:val="24"/>
          <w:lang w:eastAsia="hr-HR"/>
        </w:rPr>
      </w:pPr>
    </w:p>
    <w:p w14:paraId="0E739074" w14:textId="77777777" w:rsidR="00FB3B06" w:rsidRPr="00277C2F" w:rsidRDefault="00FB3B06" w:rsidP="006464A0">
      <w:pPr>
        <w:spacing w:after="0" w:line="240" w:lineRule="auto"/>
        <w:jc w:val="center"/>
        <w:rPr>
          <w:rFonts w:eastAsia="Times New Roman" w:cs="Arial"/>
          <w:b/>
          <w:sz w:val="24"/>
          <w:szCs w:val="24"/>
          <w:lang w:eastAsia="hr-HR"/>
        </w:rPr>
      </w:pPr>
    </w:p>
    <w:p w14:paraId="027973DB" w14:textId="77777777" w:rsidR="00FB3B06" w:rsidRPr="00277C2F" w:rsidRDefault="00FB3B06" w:rsidP="006464A0">
      <w:pPr>
        <w:spacing w:after="0" w:line="240" w:lineRule="auto"/>
        <w:jc w:val="center"/>
        <w:rPr>
          <w:rFonts w:eastAsia="Times New Roman" w:cs="Arial"/>
          <w:b/>
          <w:sz w:val="24"/>
          <w:szCs w:val="24"/>
          <w:lang w:eastAsia="hr-HR"/>
        </w:rPr>
      </w:pPr>
    </w:p>
    <w:p w14:paraId="085E5781" w14:textId="77777777" w:rsidR="00FB3B06" w:rsidRPr="00277C2F" w:rsidRDefault="00FB3B06" w:rsidP="006464A0">
      <w:pPr>
        <w:spacing w:after="0" w:line="240" w:lineRule="auto"/>
        <w:jc w:val="center"/>
        <w:rPr>
          <w:rFonts w:eastAsia="Times New Roman" w:cs="Arial"/>
          <w:b/>
          <w:sz w:val="24"/>
          <w:szCs w:val="24"/>
          <w:lang w:eastAsia="hr-HR"/>
        </w:rPr>
      </w:pPr>
    </w:p>
    <w:p w14:paraId="264F9329" w14:textId="77777777" w:rsidR="00FB3B06" w:rsidRPr="00277C2F" w:rsidRDefault="00FB3B06" w:rsidP="006464A0">
      <w:pPr>
        <w:spacing w:after="0" w:line="240" w:lineRule="auto"/>
        <w:jc w:val="center"/>
        <w:rPr>
          <w:rFonts w:eastAsia="Times New Roman" w:cs="Arial"/>
          <w:b/>
          <w:sz w:val="24"/>
          <w:szCs w:val="24"/>
          <w:lang w:eastAsia="hr-HR"/>
        </w:rPr>
      </w:pPr>
    </w:p>
    <w:p w14:paraId="55CD4534" w14:textId="77777777" w:rsidR="00FB3B06" w:rsidRPr="00277C2F" w:rsidRDefault="00FB3B06" w:rsidP="006464A0">
      <w:pPr>
        <w:spacing w:after="0" w:line="240" w:lineRule="auto"/>
        <w:jc w:val="center"/>
        <w:rPr>
          <w:rFonts w:eastAsia="Times New Roman" w:cs="Arial"/>
          <w:b/>
          <w:sz w:val="24"/>
          <w:szCs w:val="24"/>
          <w:lang w:eastAsia="hr-HR"/>
        </w:rPr>
      </w:pPr>
    </w:p>
    <w:p w14:paraId="3EE4CB1F" w14:textId="77777777" w:rsidR="00FB3B06" w:rsidRPr="00277C2F" w:rsidRDefault="00FB3B06" w:rsidP="006464A0">
      <w:pPr>
        <w:spacing w:after="0" w:line="240" w:lineRule="auto"/>
        <w:jc w:val="center"/>
        <w:rPr>
          <w:rFonts w:eastAsia="Times New Roman" w:cs="Arial"/>
          <w:b/>
          <w:sz w:val="24"/>
          <w:szCs w:val="24"/>
          <w:lang w:eastAsia="hr-HR"/>
        </w:rPr>
      </w:pPr>
    </w:p>
    <w:p w14:paraId="6A5143B8" w14:textId="77777777" w:rsidR="00FB3B06" w:rsidRPr="00277C2F" w:rsidRDefault="00FB3B06" w:rsidP="006464A0">
      <w:pPr>
        <w:spacing w:after="0" w:line="240" w:lineRule="auto"/>
        <w:jc w:val="center"/>
        <w:rPr>
          <w:rFonts w:eastAsia="Times New Roman" w:cs="Arial"/>
          <w:b/>
          <w:sz w:val="24"/>
          <w:szCs w:val="24"/>
          <w:lang w:eastAsia="hr-HR"/>
        </w:rPr>
      </w:pPr>
    </w:p>
    <w:p w14:paraId="4A9FD36B" w14:textId="77777777" w:rsidR="00FB3B06" w:rsidRPr="00277C2F" w:rsidRDefault="00FB3B06" w:rsidP="006464A0">
      <w:pPr>
        <w:spacing w:after="0" w:line="240" w:lineRule="auto"/>
        <w:jc w:val="center"/>
        <w:rPr>
          <w:rFonts w:eastAsia="Times New Roman" w:cs="Arial"/>
          <w:b/>
          <w:sz w:val="24"/>
          <w:szCs w:val="24"/>
          <w:lang w:eastAsia="hr-HR"/>
        </w:rPr>
      </w:pPr>
    </w:p>
    <w:p w14:paraId="707E8716" w14:textId="77777777" w:rsidR="00FB3B06" w:rsidRPr="00277C2F" w:rsidRDefault="00FB3B06" w:rsidP="006464A0">
      <w:pPr>
        <w:spacing w:after="0" w:line="240" w:lineRule="auto"/>
        <w:jc w:val="center"/>
        <w:rPr>
          <w:rFonts w:eastAsia="Times New Roman" w:cs="Arial"/>
          <w:b/>
          <w:sz w:val="24"/>
          <w:szCs w:val="24"/>
          <w:lang w:eastAsia="hr-HR"/>
        </w:rPr>
      </w:pPr>
    </w:p>
    <w:p w14:paraId="41114151" w14:textId="77777777" w:rsidR="00FB3B06" w:rsidRPr="00277C2F" w:rsidRDefault="00FB3B06" w:rsidP="006464A0">
      <w:pPr>
        <w:spacing w:after="0" w:line="240" w:lineRule="auto"/>
        <w:jc w:val="center"/>
        <w:rPr>
          <w:rFonts w:eastAsia="Times New Roman" w:cs="Arial"/>
          <w:b/>
          <w:sz w:val="24"/>
          <w:szCs w:val="24"/>
          <w:lang w:eastAsia="hr-HR"/>
        </w:rPr>
      </w:pPr>
    </w:p>
    <w:p w14:paraId="4E0390AC" w14:textId="77777777" w:rsidR="00FB3B06" w:rsidRPr="00277C2F" w:rsidRDefault="00FB3B06" w:rsidP="006464A0">
      <w:pPr>
        <w:spacing w:after="0" w:line="240" w:lineRule="auto"/>
        <w:jc w:val="center"/>
        <w:rPr>
          <w:rFonts w:eastAsia="Times New Roman" w:cs="Arial"/>
          <w:b/>
          <w:sz w:val="24"/>
          <w:szCs w:val="24"/>
          <w:lang w:eastAsia="hr-HR"/>
        </w:rPr>
      </w:pPr>
    </w:p>
    <w:p w14:paraId="79D204ED" w14:textId="77777777" w:rsidR="00FB3B06" w:rsidRPr="00277C2F" w:rsidRDefault="00FB3B06" w:rsidP="006464A0">
      <w:pPr>
        <w:spacing w:after="0" w:line="240" w:lineRule="auto"/>
        <w:jc w:val="center"/>
        <w:rPr>
          <w:rFonts w:eastAsia="Times New Roman" w:cs="Arial"/>
          <w:b/>
          <w:sz w:val="24"/>
          <w:szCs w:val="24"/>
          <w:lang w:eastAsia="hr-HR"/>
        </w:rPr>
      </w:pPr>
    </w:p>
    <w:p w14:paraId="0913EE43" w14:textId="77777777" w:rsidR="00FB3B06" w:rsidRPr="00277C2F" w:rsidRDefault="00FB3B06" w:rsidP="006464A0">
      <w:pPr>
        <w:spacing w:after="0" w:line="240" w:lineRule="auto"/>
        <w:jc w:val="center"/>
        <w:rPr>
          <w:rFonts w:eastAsia="Times New Roman" w:cs="Arial"/>
          <w:b/>
          <w:sz w:val="24"/>
          <w:szCs w:val="24"/>
          <w:lang w:eastAsia="hr-HR"/>
        </w:rPr>
      </w:pPr>
    </w:p>
    <w:p w14:paraId="5CA8450C" w14:textId="77777777" w:rsidR="00FB3B06" w:rsidRPr="00277C2F" w:rsidRDefault="00FB3B06" w:rsidP="006464A0">
      <w:pPr>
        <w:spacing w:after="0" w:line="240" w:lineRule="auto"/>
        <w:jc w:val="center"/>
        <w:rPr>
          <w:rFonts w:eastAsia="Times New Roman" w:cs="Arial"/>
          <w:b/>
          <w:sz w:val="24"/>
          <w:szCs w:val="24"/>
          <w:lang w:eastAsia="hr-HR"/>
        </w:rPr>
      </w:pPr>
    </w:p>
    <w:p w14:paraId="3E6DCCDA" w14:textId="77777777" w:rsidR="00FB3B06" w:rsidRPr="00277C2F" w:rsidRDefault="00FB3B06" w:rsidP="006464A0">
      <w:pPr>
        <w:spacing w:after="0" w:line="240" w:lineRule="auto"/>
        <w:jc w:val="center"/>
        <w:rPr>
          <w:rFonts w:eastAsia="Times New Roman" w:cs="Arial"/>
          <w:b/>
          <w:sz w:val="24"/>
          <w:szCs w:val="24"/>
          <w:lang w:eastAsia="hr-HR"/>
        </w:rPr>
      </w:pPr>
    </w:p>
    <w:p w14:paraId="1558ABD4" w14:textId="77777777" w:rsidR="00FB3B06" w:rsidRPr="00277C2F" w:rsidRDefault="00FB3B06" w:rsidP="006464A0">
      <w:pPr>
        <w:spacing w:after="0" w:line="240" w:lineRule="auto"/>
        <w:jc w:val="center"/>
        <w:rPr>
          <w:rFonts w:eastAsia="Times New Roman" w:cs="Arial"/>
          <w:b/>
          <w:sz w:val="24"/>
          <w:szCs w:val="24"/>
          <w:lang w:eastAsia="hr-HR"/>
        </w:rPr>
      </w:pPr>
    </w:p>
    <w:p w14:paraId="05C49553" w14:textId="7D573BB4" w:rsidR="00FA3C00" w:rsidRPr="00277C2F" w:rsidRDefault="00FB3B06" w:rsidP="006464A0">
      <w:pPr>
        <w:pBdr>
          <w:bottom w:val="single" w:sz="12" w:space="0" w:color="auto"/>
        </w:pBdr>
        <w:spacing w:after="0" w:line="240" w:lineRule="auto"/>
        <w:jc w:val="center"/>
        <w:rPr>
          <w:rFonts w:eastAsia="Times New Roman" w:cs="Arial"/>
          <w:b/>
          <w:sz w:val="24"/>
          <w:szCs w:val="24"/>
          <w:lang w:eastAsia="hr-HR"/>
        </w:rPr>
        <w:sectPr w:rsidR="00FA3C00" w:rsidRPr="00277C2F" w:rsidSect="00A534F1">
          <w:footerReference w:type="default" r:id="rId8"/>
          <w:footerReference w:type="first" r:id="rId9"/>
          <w:pgSz w:w="11906" w:h="16838"/>
          <w:pgMar w:top="1417" w:right="1417" w:bottom="1417" w:left="1417" w:header="708" w:footer="708" w:gutter="0"/>
          <w:cols w:space="708"/>
          <w:docGrid w:linePitch="360"/>
        </w:sectPr>
      </w:pPr>
      <w:r w:rsidRPr="00277C2F">
        <w:rPr>
          <w:rFonts w:eastAsia="Times New Roman" w:cs="Arial"/>
          <w:b/>
          <w:sz w:val="24"/>
          <w:szCs w:val="24"/>
          <w:lang w:eastAsia="hr-HR"/>
        </w:rPr>
        <w:t>Zagreb</w:t>
      </w:r>
      <w:r w:rsidRPr="00526125">
        <w:rPr>
          <w:rFonts w:eastAsia="Times New Roman" w:cs="Arial"/>
          <w:b/>
          <w:sz w:val="24"/>
          <w:szCs w:val="24"/>
          <w:lang w:eastAsia="hr-HR"/>
        </w:rPr>
        <w:t xml:space="preserve">, </w:t>
      </w:r>
      <w:r w:rsidR="00111E41">
        <w:rPr>
          <w:rFonts w:eastAsia="Times New Roman" w:cs="Arial"/>
          <w:b/>
          <w:sz w:val="24"/>
          <w:szCs w:val="24"/>
          <w:lang w:eastAsia="hr-HR"/>
        </w:rPr>
        <w:t xml:space="preserve">4. rujna </w:t>
      </w:r>
      <w:r w:rsidRPr="00526125">
        <w:rPr>
          <w:rFonts w:eastAsia="Times New Roman" w:cs="Arial"/>
          <w:b/>
          <w:sz w:val="24"/>
          <w:szCs w:val="24"/>
          <w:lang w:eastAsia="hr-HR"/>
        </w:rPr>
        <w:t>20</w:t>
      </w:r>
      <w:r w:rsidR="002528C5">
        <w:rPr>
          <w:rFonts w:eastAsia="Times New Roman" w:cs="Arial"/>
          <w:b/>
          <w:sz w:val="24"/>
          <w:szCs w:val="24"/>
          <w:lang w:eastAsia="hr-HR"/>
        </w:rPr>
        <w:t>19</w:t>
      </w:r>
      <w:r w:rsidRPr="00526125">
        <w:rPr>
          <w:rFonts w:eastAsia="Times New Roman" w:cs="Arial"/>
          <w:b/>
          <w:sz w:val="24"/>
          <w:szCs w:val="24"/>
          <w:lang w:eastAsia="hr-HR"/>
        </w:rPr>
        <w:t>.</w:t>
      </w:r>
    </w:p>
    <w:p w14:paraId="61A13232" w14:textId="77777777" w:rsidR="00FB3B06" w:rsidRPr="00AE6DA3" w:rsidRDefault="008A2D38" w:rsidP="006464A0">
      <w:pPr>
        <w:keepNext/>
        <w:keepLines/>
        <w:spacing w:before="480" w:after="0" w:line="240" w:lineRule="auto"/>
        <w:jc w:val="both"/>
        <w:outlineLvl w:val="0"/>
        <w:rPr>
          <w:rFonts w:eastAsiaTheme="majorEastAsia" w:cstheme="majorBidi"/>
          <w:b/>
          <w:bCs/>
          <w:sz w:val="28"/>
          <w:szCs w:val="24"/>
          <w:lang w:eastAsia="hr-HR"/>
        </w:rPr>
      </w:pPr>
      <w:bookmarkStart w:id="1" w:name="_Toc18594165"/>
      <w:r w:rsidRPr="00AE6DA3">
        <w:rPr>
          <w:rFonts w:eastAsiaTheme="majorEastAsia" w:cstheme="majorBidi"/>
          <w:b/>
          <w:bCs/>
          <w:sz w:val="28"/>
          <w:szCs w:val="24"/>
          <w:lang w:eastAsia="hr-HR"/>
        </w:rPr>
        <w:lastRenderedPageBreak/>
        <w:t>SADRŽAJ</w:t>
      </w:r>
      <w:bookmarkEnd w:id="1"/>
    </w:p>
    <w:p w14:paraId="000F85FA" w14:textId="77777777" w:rsidR="00FB3B06" w:rsidRPr="00BE071E" w:rsidRDefault="00FB3B06" w:rsidP="006464A0">
      <w:pPr>
        <w:spacing w:after="0" w:line="240" w:lineRule="auto"/>
        <w:jc w:val="both"/>
        <w:rPr>
          <w:rFonts w:eastAsia="Times New Roman" w:cs="Times New Roman"/>
          <w:sz w:val="24"/>
          <w:szCs w:val="24"/>
          <w:highlight w:val="yellow"/>
        </w:rPr>
      </w:pPr>
    </w:p>
    <w:p w14:paraId="6E938B2E" w14:textId="77777777" w:rsidR="00FB3B06" w:rsidRPr="00BE071E" w:rsidRDefault="00FB3B06" w:rsidP="006464A0">
      <w:pPr>
        <w:spacing w:after="0" w:line="240" w:lineRule="auto"/>
        <w:jc w:val="both"/>
        <w:rPr>
          <w:rFonts w:eastAsia="Times New Roman" w:cs="Times New Roman"/>
          <w:sz w:val="24"/>
          <w:szCs w:val="24"/>
          <w:highlight w:val="yellow"/>
        </w:rPr>
      </w:pPr>
    </w:p>
    <w:sdt>
      <w:sdtPr>
        <w:rPr>
          <w:rFonts w:eastAsiaTheme="majorEastAsia" w:cstheme="majorBidi"/>
          <w:b/>
          <w:bCs/>
          <w:color w:val="365F91" w:themeColor="accent1" w:themeShade="BF"/>
          <w:sz w:val="22"/>
          <w:szCs w:val="22"/>
          <w:highlight w:val="yellow"/>
          <w:lang w:eastAsia="en-US"/>
        </w:rPr>
        <w:id w:val="-290601035"/>
        <w:docPartObj>
          <w:docPartGallery w:val="Table of Contents"/>
          <w:docPartUnique/>
        </w:docPartObj>
      </w:sdtPr>
      <w:sdtEndPr>
        <w:rPr>
          <w:rFonts w:eastAsia="Times New Roman" w:cs="Times New Roman"/>
          <w:color w:val="auto"/>
          <w:highlight w:val="none"/>
        </w:rPr>
      </w:sdtEndPr>
      <w:sdtContent>
        <w:p w14:paraId="120D615F" w14:textId="77777777" w:rsidR="000A1D3C" w:rsidRDefault="00306289">
          <w:pPr>
            <w:pStyle w:val="TOC1"/>
            <w:tabs>
              <w:tab w:val="right" w:leader="dot" w:pos="9060"/>
            </w:tabs>
            <w:rPr>
              <w:rFonts w:eastAsiaTheme="minorEastAsia" w:cstheme="minorBidi"/>
              <w:noProof/>
              <w:sz w:val="22"/>
              <w:szCs w:val="22"/>
            </w:rPr>
          </w:pPr>
          <w:r w:rsidRPr="002528C5">
            <w:rPr>
              <w:highlight w:val="yellow"/>
            </w:rPr>
            <w:fldChar w:fldCharType="begin"/>
          </w:r>
          <w:r w:rsidR="00FB3B06" w:rsidRPr="002528C5">
            <w:rPr>
              <w:highlight w:val="yellow"/>
            </w:rPr>
            <w:instrText xml:space="preserve"> TOC \o "1-3" \h \z \u </w:instrText>
          </w:r>
          <w:r w:rsidRPr="002528C5">
            <w:rPr>
              <w:highlight w:val="yellow"/>
            </w:rPr>
            <w:fldChar w:fldCharType="separate"/>
          </w:r>
          <w:hyperlink w:anchor="_Toc18594165" w:history="1">
            <w:r w:rsidR="000A1D3C" w:rsidRPr="00A0628F">
              <w:rPr>
                <w:rStyle w:val="Hyperlink"/>
                <w:rFonts w:eastAsiaTheme="majorEastAsia" w:cstheme="majorBidi"/>
                <w:b/>
                <w:bCs/>
                <w:noProof/>
              </w:rPr>
              <w:t>SADRŽAJ</w:t>
            </w:r>
            <w:r w:rsidR="000A1D3C">
              <w:rPr>
                <w:noProof/>
                <w:webHidden/>
              </w:rPr>
              <w:tab/>
            </w:r>
            <w:r w:rsidR="000A1D3C">
              <w:rPr>
                <w:noProof/>
                <w:webHidden/>
              </w:rPr>
              <w:fldChar w:fldCharType="begin"/>
            </w:r>
            <w:r w:rsidR="000A1D3C">
              <w:rPr>
                <w:noProof/>
                <w:webHidden/>
              </w:rPr>
              <w:instrText xml:space="preserve"> PAGEREF _Toc18594165 \h </w:instrText>
            </w:r>
            <w:r w:rsidR="000A1D3C">
              <w:rPr>
                <w:noProof/>
                <w:webHidden/>
              </w:rPr>
            </w:r>
            <w:r w:rsidR="000A1D3C">
              <w:rPr>
                <w:noProof/>
                <w:webHidden/>
              </w:rPr>
              <w:fldChar w:fldCharType="separate"/>
            </w:r>
            <w:r w:rsidR="00720E0B">
              <w:rPr>
                <w:noProof/>
                <w:webHidden/>
              </w:rPr>
              <w:t>1</w:t>
            </w:r>
            <w:r w:rsidR="000A1D3C">
              <w:rPr>
                <w:noProof/>
                <w:webHidden/>
              </w:rPr>
              <w:fldChar w:fldCharType="end"/>
            </w:r>
          </w:hyperlink>
        </w:p>
        <w:p w14:paraId="265D4365" w14:textId="77777777" w:rsidR="000A1D3C" w:rsidRDefault="00225755">
          <w:pPr>
            <w:pStyle w:val="TOC1"/>
            <w:tabs>
              <w:tab w:val="left" w:pos="440"/>
              <w:tab w:val="right" w:leader="dot" w:pos="9060"/>
            </w:tabs>
            <w:rPr>
              <w:rFonts w:eastAsiaTheme="minorEastAsia" w:cstheme="minorBidi"/>
              <w:noProof/>
              <w:sz w:val="22"/>
              <w:szCs w:val="22"/>
            </w:rPr>
          </w:pPr>
          <w:hyperlink w:anchor="_Toc18594166" w:history="1">
            <w:r w:rsidR="000A1D3C" w:rsidRPr="00A0628F">
              <w:rPr>
                <w:rStyle w:val="Hyperlink"/>
                <w:rFonts w:eastAsiaTheme="majorEastAsia" w:cstheme="majorBidi"/>
                <w:b/>
                <w:bCs/>
                <w:noProof/>
              </w:rPr>
              <w:t>1.</w:t>
            </w:r>
            <w:r w:rsidR="000A1D3C">
              <w:rPr>
                <w:rFonts w:eastAsiaTheme="minorEastAsia" w:cstheme="minorBidi"/>
                <w:noProof/>
                <w:sz w:val="22"/>
                <w:szCs w:val="22"/>
              </w:rPr>
              <w:tab/>
            </w:r>
            <w:r w:rsidR="000A1D3C" w:rsidRPr="00A0628F">
              <w:rPr>
                <w:rStyle w:val="Hyperlink"/>
                <w:rFonts w:eastAsiaTheme="majorEastAsia" w:cstheme="majorBidi"/>
                <w:b/>
                <w:bCs/>
                <w:noProof/>
              </w:rPr>
              <w:t>UVOD</w:t>
            </w:r>
            <w:r w:rsidR="000A1D3C">
              <w:rPr>
                <w:noProof/>
                <w:webHidden/>
              </w:rPr>
              <w:tab/>
            </w:r>
            <w:r w:rsidR="000A1D3C">
              <w:rPr>
                <w:noProof/>
                <w:webHidden/>
              </w:rPr>
              <w:fldChar w:fldCharType="begin"/>
            </w:r>
            <w:r w:rsidR="000A1D3C">
              <w:rPr>
                <w:noProof/>
                <w:webHidden/>
              </w:rPr>
              <w:instrText xml:space="preserve"> PAGEREF _Toc18594166 \h </w:instrText>
            </w:r>
            <w:r w:rsidR="000A1D3C">
              <w:rPr>
                <w:noProof/>
                <w:webHidden/>
              </w:rPr>
            </w:r>
            <w:r w:rsidR="000A1D3C">
              <w:rPr>
                <w:noProof/>
                <w:webHidden/>
              </w:rPr>
              <w:fldChar w:fldCharType="separate"/>
            </w:r>
            <w:r w:rsidR="00720E0B">
              <w:rPr>
                <w:noProof/>
                <w:webHidden/>
              </w:rPr>
              <w:t>2</w:t>
            </w:r>
            <w:r w:rsidR="000A1D3C">
              <w:rPr>
                <w:noProof/>
                <w:webHidden/>
              </w:rPr>
              <w:fldChar w:fldCharType="end"/>
            </w:r>
          </w:hyperlink>
        </w:p>
        <w:p w14:paraId="62EF30E9" w14:textId="77777777" w:rsidR="000A1D3C" w:rsidRDefault="00225755">
          <w:pPr>
            <w:pStyle w:val="TOC1"/>
            <w:tabs>
              <w:tab w:val="left" w:pos="440"/>
              <w:tab w:val="right" w:leader="dot" w:pos="9060"/>
            </w:tabs>
            <w:rPr>
              <w:rFonts w:eastAsiaTheme="minorEastAsia" w:cstheme="minorBidi"/>
              <w:noProof/>
              <w:sz w:val="22"/>
              <w:szCs w:val="22"/>
            </w:rPr>
          </w:pPr>
          <w:hyperlink w:anchor="_Toc18594167" w:history="1">
            <w:r w:rsidR="000A1D3C" w:rsidRPr="00A0628F">
              <w:rPr>
                <w:rStyle w:val="Hyperlink"/>
                <w:rFonts w:eastAsiaTheme="majorEastAsia" w:cstheme="majorBidi"/>
                <w:b/>
                <w:bCs/>
                <w:noProof/>
              </w:rPr>
              <w:t>2.</w:t>
            </w:r>
            <w:r w:rsidR="000A1D3C">
              <w:rPr>
                <w:rFonts w:eastAsiaTheme="minorEastAsia" w:cstheme="minorBidi"/>
                <w:noProof/>
                <w:sz w:val="22"/>
                <w:szCs w:val="22"/>
              </w:rPr>
              <w:tab/>
            </w:r>
            <w:r w:rsidR="000A1D3C" w:rsidRPr="00A0628F">
              <w:rPr>
                <w:rStyle w:val="Hyperlink"/>
                <w:rFonts w:eastAsiaTheme="majorEastAsia" w:cstheme="majorBidi"/>
                <w:b/>
                <w:bCs/>
                <w:noProof/>
              </w:rPr>
              <w:t>TEMELJNI MAKROEKONOMSKI POKAZATELJI ZA RAZDOBLJE 2020. - 2022.</w:t>
            </w:r>
            <w:r w:rsidR="000A1D3C">
              <w:rPr>
                <w:noProof/>
                <w:webHidden/>
              </w:rPr>
              <w:tab/>
            </w:r>
            <w:r w:rsidR="000A1D3C">
              <w:rPr>
                <w:noProof/>
                <w:webHidden/>
              </w:rPr>
              <w:fldChar w:fldCharType="begin"/>
            </w:r>
            <w:r w:rsidR="000A1D3C">
              <w:rPr>
                <w:noProof/>
                <w:webHidden/>
              </w:rPr>
              <w:instrText xml:space="preserve"> PAGEREF _Toc18594167 \h </w:instrText>
            </w:r>
            <w:r w:rsidR="000A1D3C">
              <w:rPr>
                <w:noProof/>
                <w:webHidden/>
              </w:rPr>
            </w:r>
            <w:r w:rsidR="000A1D3C">
              <w:rPr>
                <w:noProof/>
                <w:webHidden/>
              </w:rPr>
              <w:fldChar w:fldCharType="separate"/>
            </w:r>
            <w:r w:rsidR="00720E0B">
              <w:rPr>
                <w:noProof/>
                <w:webHidden/>
              </w:rPr>
              <w:t>2</w:t>
            </w:r>
            <w:r w:rsidR="000A1D3C">
              <w:rPr>
                <w:noProof/>
                <w:webHidden/>
              </w:rPr>
              <w:fldChar w:fldCharType="end"/>
            </w:r>
          </w:hyperlink>
        </w:p>
        <w:p w14:paraId="0D3455D4" w14:textId="77777777" w:rsidR="000A1D3C" w:rsidRDefault="00225755">
          <w:pPr>
            <w:pStyle w:val="TOC1"/>
            <w:tabs>
              <w:tab w:val="left" w:pos="440"/>
              <w:tab w:val="right" w:leader="dot" w:pos="9060"/>
            </w:tabs>
            <w:rPr>
              <w:rFonts w:eastAsiaTheme="minorEastAsia" w:cstheme="minorBidi"/>
              <w:noProof/>
              <w:sz w:val="22"/>
              <w:szCs w:val="22"/>
            </w:rPr>
          </w:pPr>
          <w:hyperlink w:anchor="_Toc18594168" w:history="1">
            <w:r w:rsidR="000A1D3C" w:rsidRPr="00A0628F">
              <w:rPr>
                <w:rStyle w:val="Hyperlink"/>
                <w:rFonts w:eastAsiaTheme="majorEastAsia" w:cstheme="majorBidi"/>
                <w:b/>
                <w:bCs/>
                <w:noProof/>
              </w:rPr>
              <w:t>3.</w:t>
            </w:r>
            <w:r w:rsidR="000A1D3C">
              <w:rPr>
                <w:rFonts w:eastAsiaTheme="minorEastAsia" w:cstheme="minorBidi"/>
                <w:noProof/>
                <w:sz w:val="22"/>
                <w:szCs w:val="22"/>
              </w:rPr>
              <w:tab/>
            </w:r>
            <w:r w:rsidR="000A1D3C" w:rsidRPr="00A0628F">
              <w:rPr>
                <w:rStyle w:val="Hyperlink"/>
                <w:rFonts w:eastAsiaTheme="majorEastAsia" w:cstheme="majorBidi"/>
                <w:b/>
                <w:bCs/>
                <w:noProof/>
              </w:rPr>
              <w:t>METODOLOGIJA IZRADE PRIJEDLOGA FINANCIJSKOG PLANA PRORAČUNSKIH I IZVANPRORAČUNSKIH KORISNIKA JEDINICA LOKALNE I PODRUČNE (REGIONALNE) SAMOUPRAVE</w:t>
            </w:r>
            <w:r w:rsidR="000A1D3C">
              <w:rPr>
                <w:noProof/>
                <w:webHidden/>
              </w:rPr>
              <w:tab/>
            </w:r>
            <w:r w:rsidR="000A1D3C">
              <w:rPr>
                <w:noProof/>
                <w:webHidden/>
              </w:rPr>
              <w:fldChar w:fldCharType="begin"/>
            </w:r>
            <w:r w:rsidR="000A1D3C">
              <w:rPr>
                <w:noProof/>
                <w:webHidden/>
              </w:rPr>
              <w:instrText xml:space="preserve"> PAGEREF _Toc18594168 \h </w:instrText>
            </w:r>
            <w:r w:rsidR="000A1D3C">
              <w:rPr>
                <w:noProof/>
                <w:webHidden/>
              </w:rPr>
            </w:r>
            <w:r w:rsidR="000A1D3C">
              <w:rPr>
                <w:noProof/>
                <w:webHidden/>
              </w:rPr>
              <w:fldChar w:fldCharType="separate"/>
            </w:r>
            <w:r w:rsidR="00720E0B">
              <w:rPr>
                <w:noProof/>
                <w:webHidden/>
              </w:rPr>
              <w:t>3</w:t>
            </w:r>
            <w:r w:rsidR="000A1D3C">
              <w:rPr>
                <w:noProof/>
                <w:webHidden/>
              </w:rPr>
              <w:fldChar w:fldCharType="end"/>
            </w:r>
          </w:hyperlink>
        </w:p>
        <w:p w14:paraId="2BCD712C" w14:textId="77777777" w:rsidR="000A1D3C" w:rsidRDefault="00225755">
          <w:pPr>
            <w:pStyle w:val="TOC1"/>
            <w:tabs>
              <w:tab w:val="left" w:pos="440"/>
              <w:tab w:val="right" w:leader="dot" w:pos="9060"/>
            </w:tabs>
            <w:rPr>
              <w:rFonts w:eastAsiaTheme="minorEastAsia" w:cstheme="minorBidi"/>
              <w:noProof/>
              <w:sz w:val="22"/>
              <w:szCs w:val="22"/>
            </w:rPr>
          </w:pPr>
          <w:hyperlink w:anchor="_Toc18594169" w:history="1">
            <w:r w:rsidR="000A1D3C" w:rsidRPr="00A0628F">
              <w:rPr>
                <w:rStyle w:val="Hyperlink"/>
                <w:rFonts w:eastAsiaTheme="majorEastAsia" w:cstheme="majorBidi"/>
                <w:b/>
                <w:bCs/>
                <w:noProof/>
              </w:rPr>
              <w:t>4.</w:t>
            </w:r>
            <w:r w:rsidR="000A1D3C">
              <w:rPr>
                <w:rFonts w:eastAsiaTheme="minorEastAsia" w:cstheme="minorBidi"/>
                <w:noProof/>
                <w:sz w:val="22"/>
                <w:szCs w:val="22"/>
              </w:rPr>
              <w:tab/>
            </w:r>
            <w:r w:rsidR="000A1D3C" w:rsidRPr="00A0628F">
              <w:rPr>
                <w:rStyle w:val="Hyperlink"/>
                <w:rFonts w:eastAsiaTheme="majorEastAsia" w:cstheme="majorBidi"/>
                <w:b/>
                <w:bCs/>
                <w:noProof/>
              </w:rPr>
              <w:t>METODOLOGIJA IZRADE PRORAČUNA JEDINICA LOKALNE I PODRUČNE (REGIONALNE) SAMOUPRAVE</w:t>
            </w:r>
            <w:r w:rsidR="000A1D3C">
              <w:rPr>
                <w:noProof/>
                <w:webHidden/>
              </w:rPr>
              <w:tab/>
            </w:r>
            <w:r w:rsidR="000A1D3C">
              <w:rPr>
                <w:noProof/>
                <w:webHidden/>
              </w:rPr>
              <w:fldChar w:fldCharType="begin"/>
            </w:r>
            <w:r w:rsidR="000A1D3C">
              <w:rPr>
                <w:noProof/>
                <w:webHidden/>
              </w:rPr>
              <w:instrText xml:space="preserve"> PAGEREF _Toc18594169 \h </w:instrText>
            </w:r>
            <w:r w:rsidR="000A1D3C">
              <w:rPr>
                <w:noProof/>
                <w:webHidden/>
              </w:rPr>
            </w:r>
            <w:r w:rsidR="000A1D3C">
              <w:rPr>
                <w:noProof/>
                <w:webHidden/>
              </w:rPr>
              <w:fldChar w:fldCharType="separate"/>
            </w:r>
            <w:r w:rsidR="00720E0B">
              <w:rPr>
                <w:noProof/>
                <w:webHidden/>
              </w:rPr>
              <w:t>4</w:t>
            </w:r>
            <w:r w:rsidR="000A1D3C">
              <w:rPr>
                <w:noProof/>
                <w:webHidden/>
              </w:rPr>
              <w:fldChar w:fldCharType="end"/>
            </w:r>
          </w:hyperlink>
        </w:p>
        <w:p w14:paraId="037B5F95" w14:textId="77777777" w:rsidR="000A1D3C" w:rsidRDefault="00225755">
          <w:pPr>
            <w:pStyle w:val="TOC2"/>
            <w:tabs>
              <w:tab w:val="left" w:pos="880"/>
              <w:tab w:val="right" w:leader="dot" w:pos="9060"/>
            </w:tabs>
            <w:rPr>
              <w:rFonts w:eastAsiaTheme="minorEastAsia" w:cstheme="minorBidi"/>
              <w:noProof/>
              <w:sz w:val="22"/>
              <w:szCs w:val="22"/>
            </w:rPr>
          </w:pPr>
          <w:hyperlink w:anchor="_Toc18594170" w:history="1">
            <w:r w:rsidR="000A1D3C" w:rsidRPr="00A0628F">
              <w:rPr>
                <w:rStyle w:val="Hyperlink"/>
                <w:rFonts w:eastAsiaTheme="majorEastAsia" w:cstheme="majorBidi"/>
                <w:b/>
                <w:bCs/>
                <w:noProof/>
              </w:rPr>
              <w:t>4.1.</w:t>
            </w:r>
            <w:r w:rsidR="000A1D3C">
              <w:rPr>
                <w:rFonts w:eastAsiaTheme="minorEastAsia" w:cstheme="minorBidi"/>
                <w:noProof/>
                <w:sz w:val="22"/>
                <w:szCs w:val="22"/>
              </w:rPr>
              <w:tab/>
            </w:r>
            <w:r w:rsidR="000A1D3C" w:rsidRPr="00A0628F">
              <w:rPr>
                <w:rStyle w:val="Hyperlink"/>
                <w:rFonts w:eastAsiaTheme="majorEastAsia" w:cstheme="majorBidi"/>
                <w:b/>
                <w:bCs/>
                <w:noProof/>
              </w:rPr>
              <w:t>Uključivanje značajnog manjka kroz izmjene i dopune proračuna jedinice lokalne i područne (regionalne) samouprave</w:t>
            </w:r>
            <w:r w:rsidR="000A1D3C">
              <w:rPr>
                <w:noProof/>
                <w:webHidden/>
              </w:rPr>
              <w:tab/>
            </w:r>
            <w:r w:rsidR="000A1D3C">
              <w:rPr>
                <w:noProof/>
                <w:webHidden/>
              </w:rPr>
              <w:fldChar w:fldCharType="begin"/>
            </w:r>
            <w:r w:rsidR="000A1D3C">
              <w:rPr>
                <w:noProof/>
                <w:webHidden/>
              </w:rPr>
              <w:instrText xml:space="preserve"> PAGEREF _Toc18594170 \h </w:instrText>
            </w:r>
            <w:r w:rsidR="000A1D3C">
              <w:rPr>
                <w:noProof/>
                <w:webHidden/>
              </w:rPr>
            </w:r>
            <w:r w:rsidR="000A1D3C">
              <w:rPr>
                <w:noProof/>
                <w:webHidden/>
              </w:rPr>
              <w:fldChar w:fldCharType="separate"/>
            </w:r>
            <w:r w:rsidR="00720E0B">
              <w:rPr>
                <w:noProof/>
                <w:webHidden/>
              </w:rPr>
              <w:t>6</w:t>
            </w:r>
            <w:r w:rsidR="000A1D3C">
              <w:rPr>
                <w:noProof/>
                <w:webHidden/>
              </w:rPr>
              <w:fldChar w:fldCharType="end"/>
            </w:r>
          </w:hyperlink>
        </w:p>
        <w:p w14:paraId="2F0E8C41" w14:textId="77777777" w:rsidR="000A1D3C" w:rsidRDefault="00225755">
          <w:pPr>
            <w:pStyle w:val="TOC2"/>
            <w:tabs>
              <w:tab w:val="left" w:pos="880"/>
              <w:tab w:val="right" w:leader="dot" w:pos="9060"/>
            </w:tabs>
            <w:rPr>
              <w:rFonts w:eastAsiaTheme="minorEastAsia" w:cstheme="minorBidi"/>
              <w:noProof/>
              <w:sz w:val="22"/>
              <w:szCs w:val="22"/>
            </w:rPr>
          </w:pPr>
          <w:hyperlink w:anchor="_Toc18594171" w:history="1">
            <w:r w:rsidR="000A1D3C" w:rsidRPr="00A0628F">
              <w:rPr>
                <w:rStyle w:val="Hyperlink"/>
                <w:rFonts w:eastAsiaTheme="majorEastAsia" w:cstheme="majorBidi"/>
                <w:b/>
                <w:bCs/>
                <w:noProof/>
              </w:rPr>
              <w:t>4.2.</w:t>
            </w:r>
            <w:r w:rsidR="000A1D3C">
              <w:rPr>
                <w:rFonts w:eastAsiaTheme="minorEastAsia" w:cstheme="minorBidi"/>
                <w:noProof/>
                <w:sz w:val="22"/>
                <w:szCs w:val="22"/>
              </w:rPr>
              <w:tab/>
            </w:r>
            <w:r w:rsidR="000A1D3C" w:rsidRPr="00A0628F">
              <w:rPr>
                <w:rStyle w:val="Hyperlink"/>
                <w:rFonts w:eastAsiaTheme="majorEastAsia" w:cstheme="majorBidi"/>
                <w:b/>
                <w:bCs/>
                <w:noProof/>
              </w:rPr>
              <w:t>Uključivanje višegodišnjeg kapitalnog projekta koji se financira iz zaduživanja u izmjene i dopune proračuna</w:t>
            </w:r>
            <w:r w:rsidR="000A1D3C">
              <w:rPr>
                <w:noProof/>
                <w:webHidden/>
              </w:rPr>
              <w:tab/>
            </w:r>
            <w:r w:rsidR="000A1D3C">
              <w:rPr>
                <w:noProof/>
                <w:webHidden/>
              </w:rPr>
              <w:fldChar w:fldCharType="begin"/>
            </w:r>
            <w:r w:rsidR="000A1D3C">
              <w:rPr>
                <w:noProof/>
                <w:webHidden/>
              </w:rPr>
              <w:instrText xml:space="preserve"> PAGEREF _Toc18594171 \h </w:instrText>
            </w:r>
            <w:r w:rsidR="000A1D3C">
              <w:rPr>
                <w:noProof/>
                <w:webHidden/>
              </w:rPr>
            </w:r>
            <w:r w:rsidR="000A1D3C">
              <w:rPr>
                <w:noProof/>
                <w:webHidden/>
              </w:rPr>
              <w:fldChar w:fldCharType="separate"/>
            </w:r>
            <w:r w:rsidR="00720E0B">
              <w:rPr>
                <w:noProof/>
                <w:webHidden/>
              </w:rPr>
              <w:t>7</w:t>
            </w:r>
            <w:r w:rsidR="000A1D3C">
              <w:rPr>
                <w:noProof/>
                <w:webHidden/>
              </w:rPr>
              <w:fldChar w:fldCharType="end"/>
            </w:r>
          </w:hyperlink>
        </w:p>
        <w:p w14:paraId="5C276B22" w14:textId="77777777" w:rsidR="000A1D3C" w:rsidRDefault="00225755">
          <w:pPr>
            <w:pStyle w:val="TOC2"/>
            <w:tabs>
              <w:tab w:val="left" w:pos="880"/>
              <w:tab w:val="right" w:leader="dot" w:pos="9060"/>
            </w:tabs>
            <w:rPr>
              <w:rFonts w:eastAsiaTheme="minorEastAsia" w:cstheme="minorBidi"/>
              <w:noProof/>
              <w:sz w:val="22"/>
              <w:szCs w:val="22"/>
            </w:rPr>
          </w:pPr>
          <w:hyperlink w:anchor="_Toc18594172" w:history="1">
            <w:r w:rsidR="000A1D3C" w:rsidRPr="00A0628F">
              <w:rPr>
                <w:rStyle w:val="Hyperlink"/>
                <w:rFonts w:eastAsiaTheme="majorEastAsia" w:cstheme="majorBidi"/>
                <w:b/>
                <w:bCs/>
                <w:noProof/>
              </w:rPr>
              <w:t>4.3.</w:t>
            </w:r>
            <w:r w:rsidR="000A1D3C">
              <w:rPr>
                <w:rFonts w:eastAsiaTheme="minorEastAsia" w:cstheme="minorBidi"/>
                <w:noProof/>
                <w:sz w:val="22"/>
                <w:szCs w:val="22"/>
              </w:rPr>
              <w:tab/>
            </w:r>
            <w:r w:rsidR="000A1D3C" w:rsidRPr="00A0628F">
              <w:rPr>
                <w:rStyle w:val="Hyperlink"/>
                <w:rFonts w:eastAsiaTheme="majorEastAsia" w:cstheme="majorBidi"/>
                <w:b/>
                <w:bCs/>
                <w:noProof/>
              </w:rPr>
              <w:t>Planiranje višegodišnjeg EU projekta za koji treba osigurati predfinanciranje iz općih ili namjenskih prihoda i primitaka ili vlastitih prihoda jedinice lokalne i područne (regionalne) samouprave</w:t>
            </w:r>
            <w:r w:rsidR="000A1D3C">
              <w:rPr>
                <w:noProof/>
                <w:webHidden/>
              </w:rPr>
              <w:tab/>
            </w:r>
            <w:r w:rsidR="000A1D3C">
              <w:rPr>
                <w:noProof/>
                <w:webHidden/>
              </w:rPr>
              <w:fldChar w:fldCharType="begin"/>
            </w:r>
            <w:r w:rsidR="000A1D3C">
              <w:rPr>
                <w:noProof/>
                <w:webHidden/>
              </w:rPr>
              <w:instrText xml:space="preserve"> PAGEREF _Toc18594172 \h </w:instrText>
            </w:r>
            <w:r w:rsidR="000A1D3C">
              <w:rPr>
                <w:noProof/>
                <w:webHidden/>
              </w:rPr>
            </w:r>
            <w:r w:rsidR="000A1D3C">
              <w:rPr>
                <w:noProof/>
                <w:webHidden/>
              </w:rPr>
              <w:fldChar w:fldCharType="separate"/>
            </w:r>
            <w:r w:rsidR="00720E0B">
              <w:rPr>
                <w:noProof/>
                <w:webHidden/>
              </w:rPr>
              <w:t>8</w:t>
            </w:r>
            <w:r w:rsidR="000A1D3C">
              <w:rPr>
                <w:noProof/>
                <w:webHidden/>
              </w:rPr>
              <w:fldChar w:fldCharType="end"/>
            </w:r>
          </w:hyperlink>
        </w:p>
        <w:p w14:paraId="6F45E92A" w14:textId="77777777" w:rsidR="000A1D3C" w:rsidRDefault="00225755">
          <w:pPr>
            <w:pStyle w:val="TOC2"/>
            <w:tabs>
              <w:tab w:val="left" w:pos="880"/>
              <w:tab w:val="right" w:leader="dot" w:pos="9060"/>
            </w:tabs>
            <w:rPr>
              <w:rFonts w:eastAsiaTheme="minorEastAsia" w:cstheme="minorBidi"/>
              <w:noProof/>
              <w:sz w:val="22"/>
              <w:szCs w:val="22"/>
            </w:rPr>
          </w:pPr>
          <w:hyperlink w:anchor="_Toc18594173" w:history="1">
            <w:r w:rsidR="000A1D3C" w:rsidRPr="00A0628F">
              <w:rPr>
                <w:rStyle w:val="Hyperlink"/>
                <w:rFonts w:eastAsiaTheme="majorEastAsia" w:cstheme="majorBidi"/>
                <w:b/>
                <w:bCs/>
                <w:noProof/>
              </w:rPr>
              <w:t>4.4.</w:t>
            </w:r>
            <w:r w:rsidR="000A1D3C">
              <w:rPr>
                <w:rFonts w:eastAsiaTheme="minorEastAsia" w:cstheme="minorBidi"/>
                <w:noProof/>
                <w:sz w:val="22"/>
                <w:szCs w:val="22"/>
              </w:rPr>
              <w:tab/>
            </w:r>
            <w:r w:rsidR="000A1D3C" w:rsidRPr="00A0628F">
              <w:rPr>
                <w:rStyle w:val="Hyperlink"/>
                <w:rFonts w:eastAsiaTheme="majorEastAsia" w:cstheme="majorBidi"/>
                <w:b/>
                <w:bCs/>
                <w:noProof/>
              </w:rPr>
              <w:t>Planiranje kratkoročnog kredita i zajma koji prelazi u sljedeću godinu</w:t>
            </w:r>
            <w:r w:rsidR="000A1D3C">
              <w:rPr>
                <w:noProof/>
                <w:webHidden/>
              </w:rPr>
              <w:tab/>
            </w:r>
            <w:r w:rsidR="000A1D3C">
              <w:rPr>
                <w:noProof/>
                <w:webHidden/>
              </w:rPr>
              <w:fldChar w:fldCharType="begin"/>
            </w:r>
            <w:r w:rsidR="000A1D3C">
              <w:rPr>
                <w:noProof/>
                <w:webHidden/>
              </w:rPr>
              <w:instrText xml:space="preserve"> PAGEREF _Toc18594173 \h </w:instrText>
            </w:r>
            <w:r w:rsidR="000A1D3C">
              <w:rPr>
                <w:noProof/>
                <w:webHidden/>
              </w:rPr>
            </w:r>
            <w:r w:rsidR="000A1D3C">
              <w:rPr>
                <w:noProof/>
                <w:webHidden/>
              </w:rPr>
              <w:fldChar w:fldCharType="separate"/>
            </w:r>
            <w:r w:rsidR="00720E0B">
              <w:rPr>
                <w:noProof/>
                <w:webHidden/>
              </w:rPr>
              <w:t>9</w:t>
            </w:r>
            <w:r w:rsidR="000A1D3C">
              <w:rPr>
                <w:noProof/>
                <w:webHidden/>
              </w:rPr>
              <w:fldChar w:fldCharType="end"/>
            </w:r>
          </w:hyperlink>
        </w:p>
        <w:p w14:paraId="680EED16" w14:textId="77777777" w:rsidR="000A1D3C" w:rsidRDefault="00225755">
          <w:pPr>
            <w:pStyle w:val="TOC2"/>
            <w:tabs>
              <w:tab w:val="left" w:pos="880"/>
              <w:tab w:val="right" w:leader="dot" w:pos="9060"/>
            </w:tabs>
            <w:rPr>
              <w:rFonts w:eastAsiaTheme="minorEastAsia" w:cstheme="minorBidi"/>
              <w:noProof/>
              <w:sz w:val="22"/>
              <w:szCs w:val="22"/>
            </w:rPr>
          </w:pPr>
          <w:hyperlink w:anchor="_Toc18594174" w:history="1">
            <w:r w:rsidR="000A1D3C" w:rsidRPr="00A0628F">
              <w:rPr>
                <w:rStyle w:val="Hyperlink"/>
                <w:rFonts w:eastAsiaTheme="majorEastAsia" w:cstheme="majorBidi"/>
                <w:b/>
                <w:bCs/>
                <w:noProof/>
              </w:rPr>
              <w:t>4.5.</w:t>
            </w:r>
            <w:r w:rsidR="000A1D3C">
              <w:rPr>
                <w:rFonts w:eastAsiaTheme="minorEastAsia" w:cstheme="minorBidi"/>
                <w:noProof/>
                <w:sz w:val="22"/>
                <w:szCs w:val="22"/>
              </w:rPr>
              <w:tab/>
            </w:r>
            <w:r w:rsidR="000A1D3C" w:rsidRPr="00A0628F">
              <w:rPr>
                <w:rStyle w:val="Hyperlink"/>
                <w:rFonts w:eastAsiaTheme="majorEastAsia" w:cstheme="majorBidi"/>
                <w:b/>
                <w:bCs/>
                <w:noProof/>
              </w:rPr>
              <w:t>Uključivanje svih prihoda i primitaka te rashoda i izdataka škola u proračun nadležne jedinice lokalne i područne (regionalne) samouprave (pomoći iz državnog proračuna te plaće i drugi rashodi za zaposlene)</w:t>
            </w:r>
            <w:r w:rsidR="000A1D3C">
              <w:rPr>
                <w:noProof/>
                <w:webHidden/>
              </w:rPr>
              <w:tab/>
            </w:r>
            <w:r w:rsidR="000A1D3C">
              <w:rPr>
                <w:noProof/>
                <w:webHidden/>
              </w:rPr>
              <w:fldChar w:fldCharType="begin"/>
            </w:r>
            <w:r w:rsidR="000A1D3C">
              <w:rPr>
                <w:noProof/>
                <w:webHidden/>
              </w:rPr>
              <w:instrText xml:space="preserve"> PAGEREF _Toc18594174 \h </w:instrText>
            </w:r>
            <w:r w:rsidR="000A1D3C">
              <w:rPr>
                <w:noProof/>
                <w:webHidden/>
              </w:rPr>
            </w:r>
            <w:r w:rsidR="000A1D3C">
              <w:rPr>
                <w:noProof/>
                <w:webHidden/>
              </w:rPr>
              <w:fldChar w:fldCharType="separate"/>
            </w:r>
            <w:r w:rsidR="00720E0B">
              <w:rPr>
                <w:noProof/>
                <w:webHidden/>
              </w:rPr>
              <w:t>9</w:t>
            </w:r>
            <w:r w:rsidR="000A1D3C">
              <w:rPr>
                <w:noProof/>
                <w:webHidden/>
              </w:rPr>
              <w:fldChar w:fldCharType="end"/>
            </w:r>
          </w:hyperlink>
        </w:p>
        <w:p w14:paraId="1FAA5683" w14:textId="77777777" w:rsidR="000A1D3C" w:rsidRDefault="00225755">
          <w:pPr>
            <w:pStyle w:val="TOC2"/>
            <w:tabs>
              <w:tab w:val="left" w:pos="880"/>
              <w:tab w:val="right" w:leader="dot" w:pos="9060"/>
            </w:tabs>
            <w:rPr>
              <w:rFonts w:eastAsiaTheme="minorEastAsia" w:cstheme="minorBidi"/>
              <w:noProof/>
              <w:sz w:val="22"/>
              <w:szCs w:val="22"/>
            </w:rPr>
          </w:pPr>
          <w:hyperlink w:anchor="_Toc18594175" w:history="1">
            <w:r w:rsidR="000A1D3C" w:rsidRPr="00A0628F">
              <w:rPr>
                <w:rStyle w:val="Hyperlink"/>
                <w:rFonts w:eastAsiaTheme="majorEastAsia" w:cstheme="majorBidi"/>
                <w:b/>
                <w:bCs/>
                <w:noProof/>
              </w:rPr>
              <w:t>4.6.</w:t>
            </w:r>
            <w:r w:rsidR="000A1D3C">
              <w:rPr>
                <w:rFonts w:eastAsiaTheme="minorEastAsia" w:cstheme="minorBidi"/>
                <w:noProof/>
                <w:sz w:val="22"/>
                <w:szCs w:val="22"/>
              </w:rPr>
              <w:tab/>
            </w:r>
            <w:r w:rsidR="000A1D3C" w:rsidRPr="00A0628F">
              <w:rPr>
                <w:rStyle w:val="Hyperlink"/>
                <w:rFonts w:eastAsiaTheme="majorEastAsia" w:cstheme="majorBidi"/>
                <w:b/>
                <w:bCs/>
                <w:noProof/>
              </w:rPr>
              <w:t>Planiranje sredstava za obavljanje povjerenih poslova državne</w:t>
            </w:r>
            <w:r w:rsidR="000A1D3C" w:rsidRPr="00A0628F">
              <w:rPr>
                <w:rStyle w:val="Hyperlink"/>
                <w:b/>
                <w:noProof/>
              </w:rPr>
              <w:t xml:space="preserve"> uprave</w:t>
            </w:r>
            <w:r w:rsidR="000A1D3C">
              <w:rPr>
                <w:noProof/>
                <w:webHidden/>
              </w:rPr>
              <w:tab/>
            </w:r>
            <w:r w:rsidR="000A1D3C">
              <w:rPr>
                <w:noProof/>
                <w:webHidden/>
              </w:rPr>
              <w:fldChar w:fldCharType="begin"/>
            </w:r>
            <w:r w:rsidR="000A1D3C">
              <w:rPr>
                <w:noProof/>
                <w:webHidden/>
              </w:rPr>
              <w:instrText xml:space="preserve"> PAGEREF _Toc18594175 \h </w:instrText>
            </w:r>
            <w:r w:rsidR="000A1D3C">
              <w:rPr>
                <w:noProof/>
                <w:webHidden/>
              </w:rPr>
            </w:r>
            <w:r w:rsidR="000A1D3C">
              <w:rPr>
                <w:noProof/>
                <w:webHidden/>
              </w:rPr>
              <w:fldChar w:fldCharType="separate"/>
            </w:r>
            <w:r w:rsidR="00720E0B">
              <w:rPr>
                <w:noProof/>
                <w:webHidden/>
              </w:rPr>
              <w:t>10</w:t>
            </w:r>
            <w:r w:rsidR="000A1D3C">
              <w:rPr>
                <w:noProof/>
                <w:webHidden/>
              </w:rPr>
              <w:fldChar w:fldCharType="end"/>
            </w:r>
          </w:hyperlink>
        </w:p>
        <w:p w14:paraId="64C59A2F" w14:textId="77777777" w:rsidR="000A1D3C" w:rsidRDefault="00225755">
          <w:pPr>
            <w:pStyle w:val="TOC1"/>
            <w:tabs>
              <w:tab w:val="left" w:pos="440"/>
              <w:tab w:val="right" w:leader="dot" w:pos="9060"/>
            </w:tabs>
            <w:rPr>
              <w:rFonts w:eastAsiaTheme="minorEastAsia" w:cstheme="minorBidi"/>
              <w:noProof/>
              <w:sz w:val="22"/>
              <w:szCs w:val="22"/>
            </w:rPr>
          </w:pPr>
          <w:hyperlink w:anchor="_Toc18594176" w:history="1">
            <w:r w:rsidR="000A1D3C" w:rsidRPr="00A0628F">
              <w:rPr>
                <w:rStyle w:val="Hyperlink"/>
                <w:rFonts w:eastAsiaTheme="majorEastAsia" w:cstheme="majorBidi"/>
                <w:b/>
                <w:bCs/>
                <w:noProof/>
              </w:rPr>
              <w:t>5.</w:t>
            </w:r>
            <w:r w:rsidR="000A1D3C">
              <w:rPr>
                <w:rFonts w:eastAsiaTheme="minorEastAsia" w:cstheme="minorBidi"/>
                <w:noProof/>
                <w:sz w:val="22"/>
                <w:szCs w:val="22"/>
              </w:rPr>
              <w:tab/>
            </w:r>
            <w:r w:rsidR="000A1D3C" w:rsidRPr="00A0628F">
              <w:rPr>
                <w:rStyle w:val="Hyperlink"/>
                <w:rFonts w:eastAsiaTheme="majorEastAsia" w:cstheme="majorBidi"/>
                <w:b/>
                <w:bCs/>
                <w:noProof/>
              </w:rPr>
              <w:t>DOSTAVA DOKUMENATA I UNOS PODATAKA</w:t>
            </w:r>
            <w:r w:rsidR="000A1D3C">
              <w:rPr>
                <w:noProof/>
                <w:webHidden/>
              </w:rPr>
              <w:tab/>
            </w:r>
            <w:r w:rsidR="000A1D3C">
              <w:rPr>
                <w:noProof/>
                <w:webHidden/>
              </w:rPr>
              <w:fldChar w:fldCharType="begin"/>
            </w:r>
            <w:r w:rsidR="000A1D3C">
              <w:rPr>
                <w:noProof/>
                <w:webHidden/>
              </w:rPr>
              <w:instrText xml:space="preserve"> PAGEREF _Toc18594176 \h </w:instrText>
            </w:r>
            <w:r w:rsidR="000A1D3C">
              <w:rPr>
                <w:noProof/>
                <w:webHidden/>
              </w:rPr>
            </w:r>
            <w:r w:rsidR="000A1D3C">
              <w:rPr>
                <w:noProof/>
                <w:webHidden/>
              </w:rPr>
              <w:fldChar w:fldCharType="separate"/>
            </w:r>
            <w:r w:rsidR="00720E0B">
              <w:rPr>
                <w:noProof/>
                <w:webHidden/>
              </w:rPr>
              <w:t>11</w:t>
            </w:r>
            <w:r w:rsidR="000A1D3C">
              <w:rPr>
                <w:noProof/>
                <w:webHidden/>
              </w:rPr>
              <w:fldChar w:fldCharType="end"/>
            </w:r>
          </w:hyperlink>
        </w:p>
        <w:p w14:paraId="0BB8D891" w14:textId="77777777" w:rsidR="000A1D3C" w:rsidRDefault="00225755">
          <w:pPr>
            <w:pStyle w:val="TOC2"/>
            <w:tabs>
              <w:tab w:val="left" w:pos="880"/>
              <w:tab w:val="right" w:leader="dot" w:pos="9060"/>
            </w:tabs>
            <w:rPr>
              <w:rFonts w:eastAsiaTheme="minorEastAsia" w:cstheme="minorBidi"/>
              <w:noProof/>
              <w:sz w:val="22"/>
              <w:szCs w:val="22"/>
            </w:rPr>
          </w:pPr>
          <w:hyperlink w:anchor="_Toc18594177" w:history="1">
            <w:r w:rsidR="000A1D3C" w:rsidRPr="00A0628F">
              <w:rPr>
                <w:rStyle w:val="Hyperlink"/>
                <w:rFonts w:eastAsiaTheme="majorEastAsia" w:cstheme="majorBidi"/>
                <w:b/>
                <w:bCs/>
                <w:noProof/>
              </w:rPr>
              <w:t>5.1.</w:t>
            </w:r>
            <w:r w:rsidR="000A1D3C">
              <w:rPr>
                <w:rFonts w:eastAsiaTheme="minorEastAsia" w:cstheme="minorBidi"/>
                <w:noProof/>
                <w:sz w:val="22"/>
                <w:szCs w:val="22"/>
              </w:rPr>
              <w:tab/>
            </w:r>
            <w:r w:rsidR="000A1D3C" w:rsidRPr="00A0628F">
              <w:rPr>
                <w:rStyle w:val="Hyperlink"/>
                <w:rFonts w:eastAsiaTheme="majorEastAsia" w:cstheme="majorBidi"/>
                <w:b/>
                <w:bCs/>
                <w:noProof/>
              </w:rPr>
              <w:t>Dostava proračunskih dokumenata Ministarstvu financija i Državnom uredu za reviziju</w:t>
            </w:r>
            <w:r w:rsidR="000A1D3C">
              <w:rPr>
                <w:noProof/>
                <w:webHidden/>
              </w:rPr>
              <w:tab/>
            </w:r>
            <w:r w:rsidR="000A1D3C">
              <w:rPr>
                <w:noProof/>
                <w:webHidden/>
              </w:rPr>
              <w:fldChar w:fldCharType="begin"/>
            </w:r>
            <w:r w:rsidR="000A1D3C">
              <w:rPr>
                <w:noProof/>
                <w:webHidden/>
              </w:rPr>
              <w:instrText xml:space="preserve"> PAGEREF _Toc18594177 \h </w:instrText>
            </w:r>
            <w:r w:rsidR="000A1D3C">
              <w:rPr>
                <w:noProof/>
                <w:webHidden/>
              </w:rPr>
            </w:r>
            <w:r w:rsidR="000A1D3C">
              <w:rPr>
                <w:noProof/>
                <w:webHidden/>
              </w:rPr>
              <w:fldChar w:fldCharType="separate"/>
            </w:r>
            <w:r w:rsidR="00720E0B">
              <w:rPr>
                <w:noProof/>
                <w:webHidden/>
              </w:rPr>
              <w:t>11</w:t>
            </w:r>
            <w:r w:rsidR="000A1D3C">
              <w:rPr>
                <w:noProof/>
                <w:webHidden/>
              </w:rPr>
              <w:fldChar w:fldCharType="end"/>
            </w:r>
          </w:hyperlink>
        </w:p>
        <w:p w14:paraId="4D58DDD6" w14:textId="77777777" w:rsidR="000A1D3C" w:rsidRDefault="00225755">
          <w:pPr>
            <w:pStyle w:val="TOC2"/>
            <w:tabs>
              <w:tab w:val="left" w:pos="880"/>
              <w:tab w:val="right" w:leader="dot" w:pos="9060"/>
            </w:tabs>
            <w:rPr>
              <w:rFonts w:eastAsiaTheme="minorEastAsia" w:cstheme="minorBidi"/>
              <w:noProof/>
              <w:sz w:val="22"/>
              <w:szCs w:val="22"/>
            </w:rPr>
          </w:pPr>
          <w:hyperlink w:anchor="_Toc18594178" w:history="1">
            <w:r w:rsidR="000A1D3C" w:rsidRPr="00A0628F">
              <w:rPr>
                <w:rStyle w:val="Hyperlink"/>
                <w:rFonts w:eastAsiaTheme="majorEastAsia" w:cstheme="majorBidi"/>
                <w:b/>
                <w:bCs/>
                <w:noProof/>
              </w:rPr>
              <w:t>5.2.</w:t>
            </w:r>
            <w:r w:rsidR="000A1D3C">
              <w:rPr>
                <w:rFonts w:eastAsiaTheme="minorEastAsia" w:cstheme="minorBidi"/>
                <w:noProof/>
                <w:sz w:val="22"/>
                <w:szCs w:val="22"/>
              </w:rPr>
              <w:tab/>
            </w:r>
            <w:r w:rsidR="000A1D3C" w:rsidRPr="00A0628F">
              <w:rPr>
                <w:rStyle w:val="Hyperlink"/>
                <w:rFonts w:eastAsiaTheme="majorEastAsia" w:cstheme="majorBidi"/>
                <w:b/>
                <w:bCs/>
                <w:noProof/>
              </w:rPr>
              <w:t>Dostava ugovora o zaduženju te izvješća o zaduženju, danim jamstvima i suglasnostima (Obrazac IZJS)</w:t>
            </w:r>
            <w:r w:rsidR="000A1D3C">
              <w:rPr>
                <w:noProof/>
                <w:webHidden/>
              </w:rPr>
              <w:tab/>
            </w:r>
            <w:r w:rsidR="000A1D3C">
              <w:rPr>
                <w:noProof/>
                <w:webHidden/>
              </w:rPr>
              <w:fldChar w:fldCharType="begin"/>
            </w:r>
            <w:r w:rsidR="000A1D3C">
              <w:rPr>
                <w:noProof/>
                <w:webHidden/>
              </w:rPr>
              <w:instrText xml:space="preserve"> PAGEREF _Toc18594178 \h </w:instrText>
            </w:r>
            <w:r w:rsidR="000A1D3C">
              <w:rPr>
                <w:noProof/>
                <w:webHidden/>
              </w:rPr>
            </w:r>
            <w:r w:rsidR="000A1D3C">
              <w:rPr>
                <w:noProof/>
                <w:webHidden/>
              </w:rPr>
              <w:fldChar w:fldCharType="separate"/>
            </w:r>
            <w:r w:rsidR="00720E0B">
              <w:rPr>
                <w:noProof/>
                <w:webHidden/>
              </w:rPr>
              <w:t>11</w:t>
            </w:r>
            <w:r w:rsidR="000A1D3C">
              <w:rPr>
                <w:noProof/>
                <w:webHidden/>
              </w:rPr>
              <w:fldChar w:fldCharType="end"/>
            </w:r>
          </w:hyperlink>
        </w:p>
        <w:p w14:paraId="65432631" w14:textId="77777777" w:rsidR="000A1D3C" w:rsidRDefault="00225755">
          <w:pPr>
            <w:pStyle w:val="TOC2"/>
            <w:tabs>
              <w:tab w:val="left" w:pos="880"/>
              <w:tab w:val="right" w:leader="dot" w:pos="9060"/>
            </w:tabs>
            <w:rPr>
              <w:rFonts w:eastAsiaTheme="minorEastAsia" w:cstheme="minorBidi"/>
              <w:noProof/>
              <w:sz w:val="22"/>
              <w:szCs w:val="22"/>
            </w:rPr>
          </w:pPr>
          <w:hyperlink w:anchor="_Toc18594179" w:history="1">
            <w:r w:rsidR="000A1D3C" w:rsidRPr="00A0628F">
              <w:rPr>
                <w:rStyle w:val="Hyperlink"/>
                <w:rFonts w:eastAsiaTheme="majorEastAsia" w:cstheme="majorBidi"/>
                <w:b/>
                <w:bCs/>
                <w:noProof/>
              </w:rPr>
              <w:t>5.3.</w:t>
            </w:r>
            <w:r w:rsidR="000A1D3C">
              <w:rPr>
                <w:rFonts w:eastAsiaTheme="minorEastAsia" w:cstheme="minorBidi"/>
                <w:noProof/>
                <w:sz w:val="22"/>
                <w:szCs w:val="22"/>
              </w:rPr>
              <w:tab/>
            </w:r>
            <w:r w:rsidR="000A1D3C" w:rsidRPr="00A0628F">
              <w:rPr>
                <w:rStyle w:val="Hyperlink"/>
                <w:rFonts w:eastAsiaTheme="majorEastAsia" w:cstheme="majorBidi"/>
                <w:b/>
                <w:bCs/>
                <w:noProof/>
              </w:rPr>
              <w:t>Unos podataka iz proračuna jedinica u web aplikaciju za statističke potrebe</w:t>
            </w:r>
            <w:r w:rsidR="000A1D3C">
              <w:rPr>
                <w:noProof/>
                <w:webHidden/>
              </w:rPr>
              <w:tab/>
            </w:r>
            <w:r w:rsidR="000A1D3C">
              <w:rPr>
                <w:noProof/>
                <w:webHidden/>
              </w:rPr>
              <w:fldChar w:fldCharType="begin"/>
            </w:r>
            <w:r w:rsidR="000A1D3C">
              <w:rPr>
                <w:noProof/>
                <w:webHidden/>
              </w:rPr>
              <w:instrText xml:space="preserve"> PAGEREF _Toc18594179 \h </w:instrText>
            </w:r>
            <w:r w:rsidR="000A1D3C">
              <w:rPr>
                <w:noProof/>
                <w:webHidden/>
              </w:rPr>
            </w:r>
            <w:r w:rsidR="000A1D3C">
              <w:rPr>
                <w:noProof/>
                <w:webHidden/>
              </w:rPr>
              <w:fldChar w:fldCharType="separate"/>
            </w:r>
            <w:r w:rsidR="00720E0B">
              <w:rPr>
                <w:noProof/>
                <w:webHidden/>
              </w:rPr>
              <w:t>12</w:t>
            </w:r>
            <w:r w:rsidR="000A1D3C">
              <w:rPr>
                <w:noProof/>
                <w:webHidden/>
              </w:rPr>
              <w:fldChar w:fldCharType="end"/>
            </w:r>
          </w:hyperlink>
        </w:p>
        <w:p w14:paraId="5C1D22A1" w14:textId="77777777" w:rsidR="000A1D3C" w:rsidRDefault="00225755">
          <w:pPr>
            <w:pStyle w:val="TOC1"/>
            <w:tabs>
              <w:tab w:val="left" w:pos="440"/>
              <w:tab w:val="right" w:leader="dot" w:pos="9060"/>
            </w:tabs>
            <w:rPr>
              <w:rFonts w:eastAsiaTheme="minorEastAsia" w:cstheme="minorBidi"/>
              <w:noProof/>
              <w:sz w:val="22"/>
              <w:szCs w:val="22"/>
            </w:rPr>
          </w:pPr>
          <w:hyperlink w:anchor="_Toc18594180" w:history="1">
            <w:r w:rsidR="000A1D3C" w:rsidRPr="00A0628F">
              <w:rPr>
                <w:rStyle w:val="Hyperlink"/>
                <w:rFonts w:eastAsiaTheme="majorEastAsia" w:cstheme="majorBidi"/>
                <w:b/>
                <w:bCs/>
                <w:noProof/>
              </w:rPr>
              <w:t>6.</w:t>
            </w:r>
            <w:r w:rsidR="000A1D3C">
              <w:rPr>
                <w:rFonts w:eastAsiaTheme="minorEastAsia" w:cstheme="minorBidi"/>
                <w:noProof/>
                <w:sz w:val="22"/>
                <w:szCs w:val="22"/>
              </w:rPr>
              <w:tab/>
            </w:r>
            <w:r w:rsidR="000A1D3C" w:rsidRPr="00A0628F">
              <w:rPr>
                <w:rStyle w:val="Hyperlink"/>
                <w:rFonts w:eastAsiaTheme="majorEastAsia" w:cstheme="majorBidi"/>
                <w:b/>
                <w:bCs/>
                <w:noProof/>
              </w:rPr>
              <w:t>PLANIRANJE RASHODA PRORAČUNSKIH KORISNIKA U SKLOPU DECENTRALIZIRANIH FUNKCIJA</w:t>
            </w:r>
            <w:r w:rsidR="000A1D3C">
              <w:rPr>
                <w:noProof/>
                <w:webHidden/>
              </w:rPr>
              <w:tab/>
            </w:r>
            <w:r w:rsidR="000A1D3C">
              <w:rPr>
                <w:noProof/>
                <w:webHidden/>
              </w:rPr>
              <w:fldChar w:fldCharType="begin"/>
            </w:r>
            <w:r w:rsidR="000A1D3C">
              <w:rPr>
                <w:noProof/>
                <w:webHidden/>
              </w:rPr>
              <w:instrText xml:space="preserve"> PAGEREF _Toc18594180 \h </w:instrText>
            </w:r>
            <w:r w:rsidR="000A1D3C">
              <w:rPr>
                <w:noProof/>
                <w:webHidden/>
              </w:rPr>
            </w:r>
            <w:r w:rsidR="000A1D3C">
              <w:rPr>
                <w:noProof/>
                <w:webHidden/>
              </w:rPr>
              <w:fldChar w:fldCharType="separate"/>
            </w:r>
            <w:r w:rsidR="00720E0B">
              <w:rPr>
                <w:noProof/>
                <w:webHidden/>
              </w:rPr>
              <w:t>12</w:t>
            </w:r>
            <w:r w:rsidR="000A1D3C">
              <w:rPr>
                <w:noProof/>
                <w:webHidden/>
              </w:rPr>
              <w:fldChar w:fldCharType="end"/>
            </w:r>
          </w:hyperlink>
        </w:p>
        <w:p w14:paraId="64C66BDA" w14:textId="77777777" w:rsidR="000A1D3C" w:rsidRDefault="00225755">
          <w:pPr>
            <w:pStyle w:val="TOC1"/>
            <w:tabs>
              <w:tab w:val="left" w:pos="440"/>
              <w:tab w:val="right" w:leader="dot" w:pos="9060"/>
            </w:tabs>
            <w:rPr>
              <w:rFonts w:eastAsiaTheme="minorEastAsia" w:cstheme="minorBidi"/>
              <w:noProof/>
              <w:sz w:val="22"/>
              <w:szCs w:val="22"/>
            </w:rPr>
          </w:pPr>
          <w:hyperlink w:anchor="_Toc18594181" w:history="1">
            <w:r w:rsidR="000A1D3C" w:rsidRPr="00A0628F">
              <w:rPr>
                <w:rStyle w:val="Hyperlink"/>
                <w:rFonts w:eastAsiaTheme="majorEastAsia" w:cstheme="majorBidi"/>
                <w:b/>
                <w:bCs/>
                <w:noProof/>
              </w:rPr>
              <w:t>7.</w:t>
            </w:r>
            <w:r w:rsidR="000A1D3C">
              <w:rPr>
                <w:rFonts w:eastAsiaTheme="minorEastAsia" w:cstheme="minorBidi"/>
                <w:noProof/>
                <w:sz w:val="22"/>
                <w:szCs w:val="22"/>
              </w:rPr>
              <w:tab/>
            </w:r>
            <w:r w:rsidR="000A1D3C" w:rsidRPr="00A0628F">
              <w:rPr>
                <w:rStyle w:val="Hyperlink"/>
                <w:rFonts w:eastAsiaTheme="majorEastAsia" w:cstheme="majorBidi"/>
                <w:b/>
                <w:bCs/>
                <w:noProof/>
              </w:rPr>
              <w:t>NAJAVA:  NOVA UREDBA O SASTAVLJANJU I PREDAJI IZJAVE O FISKALNOJ ODGOVORNOSTI I IZVJEŠTAJA O PRIMJENI FISKALNIH PRAVILA</w:t>
            </w:r>
            <w:r w:rsidR="000A1D3C">
              <w:rPr>
                <w:noProof/>
                <w:webHidden/>
              </w:rPr>
              <w:tab/>
            </w:r>
            <w:r w:rsidR="000A1D3C">
              <w:rPr>
                <w:noProof/>
                <w:webHidden/>
              </w:rPr>
              <w:fldChar w:fldCharType="begin"/>
            </w:r>
            <w:r w:rsidR="000A1D3C">
              <w:rPr>
                <w:noProof/>
                <w:webHidden/>
              </w:rPr>
              <w:instrText xml:space="preserve"> PAGEREF _Toc18594181 \h </w:instrText>
            </w:r>
            <w:r w:rsidR="000A1D3C">
              <w:rPr>
                <w:noProof/>
                <w:webHidden/>
              </w:rPr>
            </w:r>
            <w:r w:rsidR="000A1D3C">
              <w:rPr>
                <w:noProof/>
                <w:webHidden/>
              </w:rPr>
              <w:fldChar w:fldCharType="separate"/>
            </w:r>
            <w:r w:rsidR="00720E0B">
              <w:rPr>
                <w:noProof/>
                <w:webHidden/>
              </w:rPr>
              <w:t>13</w:t>
            </w:r>
            <w:r w:rsidR="000A1D3C">
              <w:rPr>
                <w:noProof/>
                <w:webHidden/>
              </w:rPr>
              <w:fldChar w:fldCharType="end"/>
            </w:r>
          </w:hyperlink>
        </w:p>
        <w:p w14:paraId="2B248395" w14:textId="77777777" w:rsidR="000A1D3C" w:rsidRDefault="00225755">
          <w:pPr>
            <w:pStyle w:val="TOC1"/>
            <w:tabs>
              <w:tab w:val="left" w:pos="440"/>
              <w:tab w:val="right" w:leader="dot" w:pos="9060"/>
            </w:tabs>
            <w:rPr>
              <w:rFonts w:eastAsiaTheme="minorEastAsia" w:cstheme="minorBidi"/>
              <w:noProof/>
              <w:sz w:val="22"/>
              <w:szCs w:val="22"/>
            </w:rPr>
          </w:pPr>
          <w:hyperlink w:anchor="_Toc18594182" w:history="1">
            <w:r w:rsidR="000A1D3C" w:rsidRPr="00A0628F">
              <w:rPr>
                <w:rStyle w:val="Hyperlink"/>
                <w:rFonts w:eastAsiaTheme="majorEastAsia" w:cstheme="majorBidi"/>
                <w:b/>
                <w:bCs/>
                <w:noProof/>
              </w:rPr>
              <w:t>8.</w:t>
            </w:r>
            <w:r w:rsidR="000A1D3C">
              <w:rPr>
                <w:rFonts w:eastAsiaTheme="minorEastAsia" w:cstheme="minorBidi"/>
                <w:noProof/>
                <w:sz w:val="22"/>
                <w:szCs w:val="22"/>
              </w:rPr>
              <w:tab/>
            </w:r>
            <w:r w:rsidR="000A1D3C" w:rsidRPr="00A0628F">
              <w:rPr>
                <w:rStyle w:val="Hyperlink"/>
                <w:rFonts w:eastAsiaTheme="majorEastAsia" w:cstheme="majorBidi"/>
                <w:b/>
                <w:bCs/>
                <w:noProof/>
              </w:rPr>
              <w:t>DOSTUPNOST MATERIJALA NA MREŽNOJ STRANICI MINISTARSTVA FINANCIJA</w:t>
            </w:r>
            <w:r w:rsidR="000A1D3C">
              <w:rPr>
                <w:noProof/>
                <w:webHidden/>
              </w:rPr>
              <w:tab/>
            </w:r>
            <w:r w:rsidR="000A1D3C">
              <w:rPr>
                <w:noProof/>
                <w:webHidden/>
              </w:rPr>
              <w:fldChar w:fldCharType="begin"/>
            </w:r>
            <w:r w:rsidR="000A1D3C">
              <w:rPr>
                <w:noProof/>
                <w:webHidden/>
              </w:rPr>
              <w:instrText xml:space="preserve"> PAGEREF _Toc18594182 \h </w:instrText>
            </w:r>
            <w:r w:rsidR="000A1D3C">
              <w:rPr>
                <w:noProof/>
                <w:webHidden/>
              </w:rPr>
            </w:r>
            <w:r w:rsidR="000A1D3C">
              <w:rPr>
                <w:noProof/>
                <w:webHidden/>
              </w:rPr>
              <w:fldChar w:fldCharType="separate"/>
            </w:r>
            <w:r w:rsidR="00720E0B">
              <w:rPr>
                <w:noProof/>
                <w:webHidden/>
              </w:rPr>
              <w:t>14</w:t>
            </w:r>
            <w:r w:rsidR="000A1D3C">
              <w:rPr>
                <w:noProof/>
                <w:webHidden/>
              </w:rPr>
              <w:fldChar w:fldCharType="end"/>
            </w:r>
          </w:hyperlink>
        </w:p>
        <w:p w14:paraId="1DD2F3C8" w14:textId="77777777" w:rsidR="00FB3B06" w:rsidRDefault="00306289" w:rsidP="006464A0">
          <w:pPr>
            <w:spacing w:after="0" w:line="240" w:lineRule="auto"/>
            <w:jc w:val="both"/>
            <w:rPr>
              <w:rFonts w:eastAsia="Times New Roman" w:cs="Times New Roman"/>
              <w:b/>
              <w:bCs/>
            </w:rPr>
          </w:pPr>
          <w:r w:rsidRPr="002528C5">
            <w:rPr>
              <w:rFonts w:eastAsia="Times New Roman" w:cs="Times New Roman"/>
              <w:b/>
              <w:bCs/>
              <w:sz w:val="24"/>
              <w:szCs w:val="24"/>
              <w:highlight w:val="yellow"/>
              <w:lang w:eastAsia="hr-HR"/>
            </w:rPr>
            <w:fldChar w:fldCharType="end"/>
          </w:r>
        </w:p>
      </w:sdtContent>
    </w:sdt>
    <w:p w14:paraId="40DF02A4" w14:textId="77777777" w:rsidR="00BA66B1" w:rsidRDefault="00BA66B1" w:rsidP="006464A0">
      <w:pPr>
        <w:spacing w:after="0" w:line="240" w:lineRule="auto"/>
        <w:jc w:val="both"/>
        <w:rPr>
          <w:rFonts w:eastAsia="Times New Roman" w:cs="Times New Roman"/>
          <w:b/>
          <w:bCs/>
        </w:rPr>
      </w:pPr>
    </w:p>
    <w:p w14:paraId="46753641" w14:textId="77777777" w:rsidR="00BA66B1" w:rsidRDefault="00BA66B1" w:rsidP="006464A0">
      <w:pPr>
        <w:spacing w:after="0" w:line="240" w:lineRule="auto"/>
        <w:jc w:val="both"/>
        <w:rPr>
          <w:rFonts w:eastAsia="Times New Roman" w:cs="Times New Roman"/>
          <w:sz w:val="24"/>
          <w:szCs w:val="24"/>
          <w:lang w:eastAsia="hr-HR"/>
        </w:rPr>
      </w:pPr>
    </w:p>
    <w:p w14:paraId="19AF2BF0" w14:textId="77777777" w:rsidR="00C57046" w:rsidRDefault="00C57046" w:rsidP="006464A0">
      <w:pPr>
        <w:spacing w:after="0" w:line="240" w:lineRule="auto"/>
        <w:jc w:val="both"/>
        <w:rPr>
          <w:rFonts w:eastAsia="Times New Roman" w:cs="Times New Roman"/>
          <w:sz w:val="24"/>
          <w:szCs w:val="24"/>
          <w:lang w:eastAsia="hr-HR"/>
        </w:rPr>
      </w:pPr>
    </w:p>
    <w:p w14:paraId="7035653C" w14:textId="77777777" w:rsidR="0013799C" w:rsidRDefault="0013799C" w:rsidP="006464A0">
      <w:pPr>
        <w:spacing w:after="0" w:line="240" w:lineRule="auto"/>
        <w:jc w:val="both"/>
        <w:rPr>
          <w:rFonts w:eastAsia="Times New Roman" w:cs="Times New Roman"/>
          <w:sz w:val="24"/>
          <w:szCs w:val="24"/>
          <w:lang w:eastAsia="hr-HR"/>
        </w:rPr>
      </w:pPr>
    </w:p>
    <w:p w14:paraId="46F9AE0F" w14:textId="77777777" w:rsidR="00C57046" w:rsidRPr="00277C2F" w:rsidRDefault="00C57046" w:rsidP="006464A0">
      <w:pPr>
        <w:spacing w:after="0" w:line="240" w:lineRule="auto"/>
        <w:jc w:val="both"/>
        <w:rPr>
          <w:rFonts w:eastAsia="Times New Roman" w:cs="Times New Roman"/>
          <w:sz w:val="24"/>
          <w:szCs w:val="24"/>
          <w:lang w:eastAsia="hr-HR"/>
        </w:rPr>
      </w:pPr>
    </w:p>
    <w:p w14:paraId="73974AB7" w14:textId="77777777" w:rsidR="00FB3B06" w:rsidRPr="00277C2F" w:rsidRDefault="00277C2F" w:rsidP="00DC06D2">
      <w:pPr>
        <w:keepNext/>
        <w:keepLines/>
        <w:numPr>
          <w:ilvl w:val="0"/>
          <w:numId w:val="2"/>
        </w:numPr>
        <w:spacing w:before="480" w:after="0" w:line="240" w:lineRule="auto"/>
        <w:ind w:left="714" w:hanging="357"/>
        <w:jc w:val="both"/>
        <w:outlineLvl w:val="0"/>
        <w:rPr>
          <w:rFonts w:eastAsiaTheme="majorEastAsia" w:cstheme="majorBidi"/>
          <w:b/>
          <w:bCs/>
          <w:sz w:val="28"/>
          <w:szCs w:val="24"/>
          <w:lang w:eastAsia="hr-HR"/>
        </w:rPr>
      </w:pPr>
      <w:bookmarkStart w:id="2" w:name="_Toc18594166"/>
      <w:r w:rsidRPr="00277C2F">
        <w:rPr>
          <w:rFonts w:eastAsiaTheme="majorEastAsia" w:cstheme="majorBidi"/>
          <w:b/>
          <w:bCs/>
          <w:sz w:val="28"/>
          <w:szCs w:val="24"/>
          <w:lang w:eastAsia="hr-HR"/>
        </w:rPr>
        <w:lastRenderedPageBreak/>
        <w:t>U</w:t>
      </w:r>
      <w:r w:rsidR="00FB3B06" w:rsidRPr="00277C2F">
        <w:rPr>
          <w:rFonts w:eastAsiaTheme="majorEastAsia" w:cstheme="majorBidi"/>
          <w:b/>
          <w:bCs/>
          <w:sz w:val="28"/>
          <w:szCs w:val="24"/>
          <w:lang w:eastAsia="hr-HR"/>
        </w:rPr>
        <w:t>VOD</w:t>
      </w:r>
      <w:bookmarkEnd w:id="2"/>
    </w:p>
    <w:p w14:paraId="209A34B9" w14:textId="77777777" w:rsidR="000E4EFC" w:rsidRPr="001E4E40" w:rsidRDefault="000E4EFC" w:rsidP="000E4EFC">
      <w:pPr>
        <w:spacing w:after="0" w:line="240" w:lineRule="auto"/>
        <w:jc w:val="both"/>
        <w:rPr>
          <w:rFonts w:eastAsia="Times New Roman" w:cs="Times New Roman"/>
          <w:sz w:val="24"/>
          <w:szCs w:val="24"/>
        </w:rPr>
      </w:pPr>
    </w:p>
    <w:p w14:paraId="56E55B8C" w14:textId="78EDD664" w:rsidR="001575B9" w:rsidRPr="001E4E40" w:rsidRDefault="00947FD4" w:rsidP="000E4EFC">
      <w:pPr>
        <w:spacing w:after="0" w:line="240" w:lineRule="auto"/>
        <w:jc w:val="both"/>
        <w:rPr>
          <w:rFonts w:eastAsia="Times New Roman" w:cs="Times New Roman"/>
          <w:bCs/>
          <w:sz w:val="24"/>
          <w:szCs w:val="24"/>
          <w:lang w:eastAsia="hr-HR"/>
        </w:rPr>
      </w:pPr>
      <w:r w:rsidRPr="001E4E40">
        <w:rPr>
          <w:rFonts w:eastAsia="Times New Roman" w:cs="Times New Roman"/>
          <w:sz w:val="24"/>
          <w:szCs w:val="24"/>
          <w:lang w:eastAsia="hr-HR"/>
        </w:rPr>
        <w:t>Prema proračunskom kalendaru, Vlada Republike Hrvatske</w:t>
      </w:r>
      <w:r w:rsidR="00AB4259" w:rsidRPr="001E4E40">
        <w:rPr>
          <w:rFonts w:eastAsia="Times New Roman" w:cs="Times New Roman"/>
          <w:sz w:val="24"/>
          <w:szCs w:val="24"/>
          <w:lang w:eastAsia="hr-HR"/>
        </w:rPr>
        <w:t xml:space="preserve"> (</w:t>
      </w:r>
      <w:r w:rsidR="00BE7F47" w:rsidRPr="001E4E40">
        <w:rPr>
          <w:rFonts w:eastAsia="Times New Roman" w:cs="Times New Roman"/>
          <w:bCs/>
          <w:sz w:val="24"/>
          <w:szCs w:val="24"/>
          <w:lang w:eastAsia="hr-HR"/>
        </w:rPr>
        <w:t>dalje u tekstu</w:t>
      </w:r>
      <w:r w:rsidR="00AB4259" w:rsidRPr="001E4E40">
        <w:rPr>
          <w:rFonts w:eastAsia="Times New Roman" w:cs="Times New Roman"/>
          <w:sz w:val="24"/>
          <w:szCs w:val="24"/>
          <w:lang w:eastAsia="hr-HR"/>
        </w:rPr>
        <w:t>: Vlada)</w:t>
      </w:r>
      <w:r w:rsidRPr="001E4E40">
        <w:rPr>
          <w:rFonts w:eastAsia="Times New Roman" w:cs="Times New Roman"/>
          <w:sz w:val="24"/>
          <w:szCs w:val="24"/>
          <w:lang w:eastAsia="hr-HR"/>
        </w:rPr>
        <w:t xml:space="preserve"> usvaja smjernice ekonomske i fiskalne politike za trogodišnje razdoblje</w:t>
      </w:r>
      <w:r w:rsidR="00F37E2C" w:rsidRPr="001E4E40">
        <w:rPr>
          <w:rFonts w:eastAsia="Times New Roman" w:cs="Times New Roman"/>
          <w:sz w:val="24"/>
          <w:szCs w:val="24"/>
          <w:lang w:eastAsia="hr-HR"/>
        </w:rPr>
        <w:t xml:space="preserve"> </w:t>
      </w:r>
      <w:r w:rsidRPr="001E4E40">
        <w:rPr>
          <w:rFonts w:eastAsia="Times New Roman" w:cs="Times New Roman"/>
          <w:sz w:val="24"/>
          <w:szCs w:val="24"/>
          <w:lang w:eastAsia="hr-HR"/>
        </w:rPr>
        <w:t xml:space="preserve"> koje između ostaloga sadrže</w:t>
      </w:r>
      <w:r w:rsidR="00B41309" w:rsidRPr="001E4E40">
        <w:rPr>
          <w:rFonts w:eastAsia="Times New Roman" w:cs="Times New Roman"/>
          <w:sz w:val="24"/>
          <w:szCs w:val="24"/>
          <w:lang w:eastAsia="hr-HR"/>
        </w:rPr>
        <w:t xml:space="preserve"> ciljeve ekonomske politike za trogodišnje razdoblje te makroekonomski i fiskalni okvir opće države</w:t>
      </w:r>
      <w:r w:rsidRPr="001E4E40">
        <w:rPr>
          <w:rFonts w:eastAsia="Times New Roman" w:cs="Times New Roman"/>
          <w:sz w:val="24"/>
          <w:szCs w:val="24"/>
          <w:lang w:eastAsia="hr-HR"/>
        </w:rPr>
        <w:t xml:space="preserve">. </w:t>
      </w:r>
      <w:r w:rsidR="006818EB" w:rsidRPr="001E4E40">
        <w:rPr>
          <w:rFonts w:eastAsia="Times New Roman" w:cs="Times New Roman"/>
          <w:sz w:val="24"/>
          <w:szCs w:val="24"/>
          <w:lang w:eastAsia="hr-HR"/>
        </w:rPr>
        <w:t>Smjernice</w:t>
      </w:r>
      <w:r w:rsidR="006818EB" w:rsidRPr="001E4E40">
        <w:rPr>
          <w:rFonts w:eastAsia="Times New Roman" w:cs="Times New Roman"/>
          <w:bCs/>
          <w:sz w:val="24"/>
          <w:szCs w:val="24"/>
          <w:lang w:eastAsia="hr-HR"/>
        </w:rPr>
        <w:t xml:space="preserve"> ekonomske i fiskalne politike za razdoblje 20</w:t>
      </w:r>
      <w:r w:rsidR="002528C5" w:rsidRPr="001E4E40">
        <w:rPr>
          <w:rFonts w:eastAsia="Times New Roman" w:cs="Times New Roman"/>
          <w:bCs/>
          <w:sz w:val="24"/>
          <w:szCs w:val="24"/>
          <w:lang w:eastAsia="hr-HR"/>
        </w:rPr>
        <w:t>20</w:t>
      </w:r>
      <w:r w:rsidR="006818EB" w:rsidRPr="001E4E40">
        <w:rPr>
          <w:rFonts w:eastAsia="Times New Roman" w:cs="Times New Roman"/>
          <w:bCs/>
          <w:sz w:val="24"/>
          <w:szCs w:val="24"/>
          <w:lang w:eastAsia="hr-HR"/>
        </w:rPr>
        <w:t>. - 20</w:t>
      </w:r>
      <w:r w:rsidR="002528C5" w:rsidRPr="001E4E40">
        <w:rPr>
          <w:rFonts w:eastAsia="Times New Roman" w:cs="Times New Roman"/>
          <w:bCs/>
          <w:sz w:val="24"/>
          <w:szCs w:val="24"/>
          <w:lang w:eastAsia="hr-HR"/>
        </w:rPr>
        <w:t>22</w:t>
      </w:r>
      <w:r w:rsidR="006818EB" w:rsidRPr="001E4E40">
        <w:rPr>
          <w:rFonts w:eastAsia="Times New Roman" w:cs="Times New Roman"/>
          <w:bCs/>
          <w:sz w:val="24"/>
          <w:szCs w:val="24"/>
          <w:lang w:eastAsia="hr-HR"/>
        </w:rPr>
        <w:t xml:space="preserve">. (dalje u tekstu: Smjernice) koje je Vlada </w:t>
      </w:r>
      <w:r w:rsidR="006818EB" w:rsidRPr="001E4E40">
        <w:rPr>
          <w:rFonts w:eastAsia="Times New Roman" w:cs="Times New Roman"/>
          <w:sz w:val="24"/>
          <w:szCs w:val="24"/>
          <w:lang w:eastAsia="hr-HR"/>
        </w:rPr>
        <w:t xml:space="preserve">usvojila </w:t>
      </w:r>
      <w:r w:rsidR="00D23A6E" w:rsidRPr="001E4E40">
        <w:rPr>
          <w:rFonts w:eastAsia="Times New Roman" w:cs="Times New Roman"/>
          <w:sz w:val="24"/>
          <w:szCs w:val="24"/>
          <w:lang w:eastAsia="hr-HR"/>
        </w:rPr>
        <w:t>na svojoj 1</w:t>
      </w:r>
      <w:r w:rsidR="002528C5" w:rsidRPr="001E4E40">
        <w:rPr>
          <w:rFonts w:eastAsia="Times New Roman" w:cs="Times New Roman"/>
          <w:sz w:val="24"/>
          <w:szCs w:val="24"/>
          <w:lang w:eastAsia="hr-HR"/>
        </w:rPr>
        <w:t>73</w:t>
      </w:r>
      <w:r w:rsidR="00D23A6E" w:rsidRPr="001E4E40">
        <w:rPr>
          <w:rFonts w:eastAsia="Times New Roman" w:cs="Times New Roman"/>
          <w:sz w:val="24"/>
          <w:szCs w:val="24"/>
          <w:lang w:eastAsia="hr-HR"/>
        </w:rPr>
        <w:t xml:space="preserve">. sjednici održanoj </w:t>
      </w:r>
      <w:r w:rsidR="002528C5" w:rsidRPr="001E4E40">
        <w:rPr>
          <w:rFonts w:eastAsia="Times New Roman" w:cs="Times New Roman"/>
          <w:sz w:val="24"/>
          <w:szCs w:val="24"/>
          <w:lang w:eastAsia="hr-HR"/>
        </w:rPr>
        <w:t>1</w:t>
      </w:r>
      <w:r w:rsidR="00D23A6E" w:rsidRPr="001E4E40">
        <w:rPr>
          <w:rFonts w:eastAsia="Times New Roman" w:cs="Times New Roman"/>
          <w:sz w:val="24"/>
          <w:szCs w:val="24"/>
          <w:lang w:eastAsia="hr-HR"/>
        </w:rPr>
        <w:t>. kolovoza 201</w:t>
      </w:r>
      <w:r w:rsidR="002528C5" w:rsidRPr="001E4E40">
        <w:rPr>
          <w:rFonts w:eastAsia="Times New Roman" w:cs="Times New Roman"/>
          <w:sz w:val="24"/>
          <w:szCs w:val="24"/>
          <w:lang w:eastAsia="hr-HR"/>
        </w:rPr>
        <w:t>9</w:t>
      </w:r>
      <w:r w:rsidR="006818EB" w:rsidRPr="001E4E40">
        <w:rPr>
          <w:rFonts w:eastAsia="Times New Roman" w:cs="Times New Roman"/>
          <w:sz w:val="24"/>
          <w:szCs w:val="24"/>
          <w:lang w:eastAsia="hr-HR"/>
        </w:rPr>
        <w:t>.</w:t>
      </w:r>
      <w:r w:rsidR="006818EB" w:rsidRPr="001E4E40">
        <w:rPr>
          <w:rFonts w:eastAsia="Times New Roman" w:cs="Times New Roman"/>
          <w:bCs/>
          <w:sz w:val="24"/>
          <w:szCs w:val="24"/>
          <w:lang w:eastAsia="hr-HR"/>
        </w:rPr>
        <w:t xml:space="preserve"> izrađene su na temelju N</w:t>
      </w:r>
      <w:r w:rsidR="00F24666" w:rsidRPr="001E4E40">
        <w:rPr>
          <w:rFonts w:eastAsia="Times New Roman" w:cs="Times New Roman"/>
          <w:bCs/>
          <w:sz w:val="24"/>
          <w:szCs w:val="24"/>
          <w:lang w:eastAsia="hr-HR"/>
        </w:rPr>
        <w:t xml:space="preserve">acionalnog programa reformi </w:t>
      </w:r>
      <w:r w:rsidR="002528C5" w:rsidRPr="001E4E40">
        <w:rPr>
          <w:rFonts w:eastAsia="Times New Roman" w:cs="Times New Roman"/>
          <w:bCs/>
          <w:sz w:val="24"/>
          <w:szCs w:val="24"/>
          <w:lang w:eastAsia="hr-HR"/>
        </w:rPr>
        <w:t xml:space="preserve">Republike Hrvatske za </w:t>
      </w:r>
      <w:r w:rsidR="00F24666" w:rsidRPr="001E4E40">
        <w:rPr>
          <w:rFonts w:eastAsia="Times New Roman" w:cs="Times New Roman"/>
          <w:bCs/>
          <w:sz w:val="24"/>
          <w:szCs w:val="24"/>
          <w:lang w:eastAsia="hr-HR"/>
        </w:rPr>
        <w:t>201</w:t>
      </w:r>
      <w:r w:rsidR="002528C5" w:rsidRPr="001E4E40">
        <w:rPr>
          <w:rFonts w:eastAsia="Times New Roman" w:cs="Times New Roman"/>
          <w:bCs/>
          <w:sz w:val="24"/>
          <w:szCs w:val="24"/>
          <w:lang w:eastAsia="hr-HR"/>
        </w:rPr>
        <w:t>9</w:t>
      </w:r>
      <w:r w:rsidR="006818EB" w:rsidRPr="001E4E40">
        <w:rPr>
          <w:rFonts w:eastAsia="Times New Roman" w:cs="Times New Roman"/>
          <w:bCs/>
          <w:sz w:val="24"/>
          <w:szCs w:val="24"/>
          <w:lang w:eastAsia="hr-HR"/>
        </w:rPr>
        <w:t>. i Programa konvergencije Republike Hrvatske za</w:t>
      </w:r>
      <w:r w:rsidR="00F24666" w:rsidRPr="001E4E40">
        <w:rPr>
          <w:rFonts w:eastAsia="Times New Roman" w:cs="Times New Roman"/>
          <w:bCs/>
          <w:sz w:val="24"/>
          <w:szCs w:val="24"/>
          <w:lang w:eastAsia="hr-HR"/>
        </w:rPr>
        <w:t xml:space="preserve"> </w:t>
      </w:r>
      <w:r w:rsidR="00D23A6E" w:rsidRPr="001E4E40">
        <w:rPr>
          <w:rFonts w:eastAsia="Times New Roman" w:cs="Times New Roman"/>
          <w:bCs/>
          <w:sz w:val="24"/>
          <w:szCs w:val="24"/>
          <w:lang w:eastAsia="hr-HR"/>
        </w:rPr>
        <w:t xml:space="preserve">razdoblje </w:t>
      </w:r>
      <w:r w:rsidR="00BE7F47" w:rsidRPr="001E4E40">
        <w:rPr>
          <w:rFonts w:eastAsia="Times New Roman" w:cs="Times New Roman"/>
          <w:bCs/>
          <w:sz w:val="24"/>
          <w:szCs w:val="24"/>
          <w:lang w:eastAsia="hr-HR"/>
        </w:rPr>
        <w:t>201</w:t>
      </w:r>
      <w:r w:rsidR="002528C5" w:rsidRPr="001E4E40">
        <w:rPr>
          <w:rFonts w:eastAsia="Times New Roman" w:cs="Times New Roman"/>
          <w:bCs/>
          <w:sz w:val="24"/>
          <w:szCs w:val="24"/>
          <w:lang w:eastAsia="hr-HR"/>
        </w:rPr>
        <w:t>9</w:t>
      </w:r>
      <w:r w:rsidR="006818EB" w:rsidRPr="001E4E40">
        <w:rPr>
          <w:rFonts w:eastAsia="Times New Roman" w:cs="Times New Roman"/>
          <w:bCs/>
          <w:sz w:val="24"/>
          <w:szCs w:val="24"/>
          <w:lang w:eastAsia="hr-HR"/>
        </w:rPr>
        <w:t>.</w:t>
      </w:r>
      <w:r w:rsidR="00C35E04" w:rsidRPr="001E4E40">
        <w:rPr>
          <w:rFonts w:eastAsia="Times New Roman" w:cs="Times New Roman"/>
          <w:bCs/>
          <w:sz w:val="24"/>
          <w:szCs w:val="24"/>
          <w:lang w:eastAsia="hr-HR"/>
        </w:rPr>
        <w:t xml:space="preserve"> </w:t>
      </w:r>
      <w:r w:rsidR="00D23A6E" w:rsidRPr="001E4E40">
        <w:rPr>
          <w:rFonts w:eastAsia="Times New Roman" w:cs="Times New Roman"/>
          <w:bCs/>
          <w:sz w:val="24"/>
          <w:szCs w:val="24"/>
          <w:lang w:eastAsia="hr-HR"/>
        </w:rPr>
        <w:t>-</w:t>
      </w:r>
      <w:r w:rsidR="00C35E04" w:rsidRPr="001E4E40">
        <w:rPr>
          <w:rFonts w:eastAsia="Times New Roman" w:cs="Times New Roman"/>
          <w:bCs/>
          <w:sz w:val="24"/>
          <w:szCs w:val="24"/>
          <w:lang w:eastAsia="hr-HR"/>
        </w:rPr>
        <w:t xml:space="preserve"> </w:t>
      </w:r>
      <w:r w:rsidR="00D23A6E" w:rsidRPr="001E4E40">
        <w:rPr>
          <w:rFonts w:eastAsia="Times New Roman" w:cs="Times New Roman"/>
          <w:bCs/>
          <w:sz w:val="24"/>
          <w:szCs w:val="24"/>
          <w:lang w:eastAsia="hr-HR"/>
        </w:rPr>
        <w:t>202</w:t>
      </w:r>
      <w:r w:rsidR="002528C5" w:rsidRPr="001E4E40">
        <w:rPr>
          <w:rFonts w:eastAsia="Times New Roman" w:cs="Times New Roman"/>
          <w:bCs/>
          <w:sz w:val="24"/>
          <w:szCs w:val="24"/>
          <w:lang w:eastAsia="hr-HR"/>
        </w:rPr>
        <w:t>2</w:t>
      </w:r>
      <w:r w:rsidR="00D23A6E" w:rsidRPr="001E4E40">
        <w:rPr>
          <w:rFonts w:eastAsia="Times New Roman" w:cs="Times New Roman"/>
          <w:bCs/>
          <w:sz w:val="24"/>
          <w:szCs w:val="24"/>
          <w:lang w:eastAsia="hr-HR"/>
        </w:rPr>
        <w:t>.</w:t>
      </w:r>
      <w:r w:rsidR="00B443ED" w:rsidRPr="001E4E40">
        <w:rPr>
          <w:rFonts w:eastAsia="Times New Roman" w:cs="Times New Roman"/>
          <w:bCs/>
          <w:sz w:val="24"/>
          <w:szCs w:val="24"/>
          <w:lang w:eastAsia="hr-HR"/>
        </w:rPr>
        <w:t>.</w:t>
      </w:r>
    </w:p>
    <w:p w14:paraId="37F5E87F" w14:textId="77777777" w:rsidR="006E5A25" w:rsidRPr="001E4E40" w:rsidRDefault="006E5A25" w:rsidP="000E4EFC">
      <w:pPr>
        <w:spacing w:after="0" w:line="240" w:lineRule="auto"/>
        <w:jc w:val="both"/>
        <w:rPr>
          <w:rFonts w:eastAsia="Times New Roman" w:cs="Times New Roman"/>
          <w:bCs/>
          <w:sz w:val="24"/>
          <w:szCs w:val="24"/>
          <w:lang w:eastAsia="hr-HR"/>
        </w:rPr>
      </w:pPr>
    </w:p>
    <w:p w14:paraId="6FE5136B" w14:textId="77777777" w:rsidR="006818EB" w:rsidRPr="001E4E40" w:rsidRDefault="006818EB" w:rsidP="006E5A25">
      <w:pPr>
        <w:spacing w:after="0" w:line="240" w:lineRule="auto"/>
        <w:jc w:val="both"/>
        <w:rPr>
          <w:rFonts w:eastAsia="Times New Roman" w:cs="Times New Roman"/>
          <w:bCs/>
          <w:sz w:val="24"/>
          <w:szCs w:val="24"/>
          <w:lang w:eastAsia="hr-HR"/>
        </w:rPr>
      </w:pPr>
      <w:r w:rsidRPr="001E4E40">
        <w:rPr>
          <w:rFonts w:eastAsia="Times New Roman" w:cs="Times New Roman"/>
          <w:sz w:val="24"/>
          <w:szCs w:val="24"/>
          <w:lang w:eastAsia="hr-HR"/>
        </w:rPr>
        <w:t xml:space="preserve">Sukladno Zakonu o proračunu (Narodne novine, br. 87/08, 136/12 i 15/15), a na temelju Smjernica, Ministarstvo financija je sastavilo Upute za izradu proračuna jedinica lokalne i </w:t>
      </w:r>
      <w:r w:rsidRPr="001E4E40">
        <w:rPr>
          <w:rFonts w:eastAsia="Times New Roman" w:cs="Times New Roman"/>
          <w:bCs/>
          <w:sz w:val="24"/>
          <w:szCs w:val="24"/>
          <w:lang w:eastAsia="hr-HR"/>
        </w:rPr>
        <w:t>područne (regionalne) samouprave za razdoblje 20</w:t>
      </w:r>
      <w:r w:rsidR="00C83617" w:rsidRPr="001E4E40">
        <w:rPr>
          <w:rFonts w:eastAsia="Times New Roman" w:cs="Times New Roman"/>
          <w:bCs/>
          <w:sz w:val="24"/>
          <w:szCs w:val="24"/>
          <w:lang w:eastAsia="hr-HR"/>
        </w:rPr>
        <w:t>20</w:t>
      </w:r>
      <w:r w:rsidRPr="001E4E40">
        <w:rPr>
          <w:rFonts w:eastAsia="Times New Roman" w:cs="Times New Roman"/>
          <w:bCs/>
          <w:sz w:val="24"/>
          <w:szCs w:val="24"/>
          <w:lang w:eastAsia="hr-HR"/>
        </w:rPr>
        <w:t>. - 20</w:t>
      </w:r>
      <w:r w:rsidR="00C83617" w:rsidRPr="001E4E40">
        <w:rPr>
          <w:rFonts w:eastAsia="Times New Roman" w:cs="Times New Roman"/>
          <w:bCs/>
          <w:sz w:val="24"/>
          <w:szCs w:val="24"/>
          <w:lang w:eastAsia="hr-HR"/>
        </w:rPr>
        <w:t>22</w:t>
      </w:r>
      <w:r w:rsidRPr="001E4E40">
        <w:rPr>
          <w:rFonts w:eastAsia="Times New Roman" w:cs="Times New Roman"/>
          <w:bCs/>
          <w:sz w:val="24"/>
          <w:szCs w:val="24"/>
          <w:lang w:eastAsia="hr-HR"/>
        </w:rPr>
        <w:t>. (dalje u tekstu: Upute).</w:t>
      </w:r>
    </w:p>
    <w:p w14:paraId="4226F46B" w14:textId="77777777" w:rsidR="001575B9" w:rsidRPr="001E4E40" w:rsidRDefault="001575B9" w:rsidP="006E5A25">
      <w:pPr>
        <w:spacing w:after="0" w:line="240" w:lineRule="auto"/>
        <w:jc w:val="both"/>
        <w:rPr>
          <w:rFonts w:eastAsia="Times New Roman" w:cs="Times New Roman"/>
          <w:bCs/>
          <w:sz w:val="24"/>
          <w:szCs w:val="24"/>
          <w:lang w:eastAsia="hr-HR"/>
        </w:rPr>
      </w:pPr>
    </w:p>
    <w:p w14:paraId="6B7B9325" w14:textId="77777777" w:rsidR="00AB4259" w:rsidRPr="001E4E40" w:rsidRDefault="00AB4259"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Upute sadrže:</w:t>
      </w:r>
    </w:p>
    <w:p w14:paraId="7EC8F051" w14:textId="31132248" w:rsidR="006818EB" w:rsidRPr="001E4E40" w:rsidRDefault="006818EB" w:rsidP="003D56A5">
      <w:pPr>
        <w:numPr>
          <w:ilvl w:val="0"/>
          <w:numId w:val="4"/>
        </w:numPr>
        <w:spacing w:after="0" w:line="240" w:lineRule="auto"/>
        <w:ind w:left="714" w:hanging="357"/>
        <w:contextualSpacing/>
        <w:jc w:val="both"/>
        <w:rPr>
          <w:rFonts w:eastAsia="Times New Roman" w:cs="Times New Roman"/>
          <w:sz w:val="24"/>
          <w:szCs w:val="24"/>
          <w:lang w:eastAsia="hr-HR"/>
        </w:rPr>
      </w:pPr>
      <w:r w:rsidRPr="001E4E40">
        <w:rPr>
          <w:rFonts w:eastAsia="Times New Roman" w:cs="Times New Roman"/>
          <w:sz w:val="24"/>
          <w:szCs w:val="24"/>
          <w:lang w:eastAsia="hr-HR"/>
        </w:rPr>
        <w:t xml:space="preserve">temeljne </w:t>
      </w:r>
      <w:r w:rsidR="00B0632D">
        <w:rPr>
          <w:rFonts w:eastAsia="Times New Roman" w:cs="Times New Roman"/>
          <w:sz w:val="24"/>
          <w:szCs w:val="24"/>
          <w:lang w:eastAsia="hr-HR"/>
        </w:rPr>
        <w:t>makro</w:t>
      </w:r>
      <w:r w:rsidRPr="001E4E40">
        <w:rPr>
          <w:rFonts w:eastAsia="Times New Roman" w:cs="Times New Roman"/>
          <w:sz w:val="24"/>
          <w:szCs w:val="24"/>
          <w:lang w:eastAsia="hr-HR"/>
        </w:rPr>
        <w:t>ekonomske pokazatelje iz Smjernica,</w:t>
      </w:r>
    </w:p>
    <w:p w14:paraId="7DB8599E" w14:textId="69C4F0B6" w:rsidR="006464A0" w:rsidRPr="001E4E40" w:rsidRDefault="006464A0" w:rsidP="003D56A5">
      <w:pPr>
        <w:numPr>
          <w:ilvl w:val="0"/>
          <w:numId w:val="4"/>
        </w:numPr>
        <w:spacing w:after="0" w:line="240" w:lineRule="auto"/>
        <w:ind w:left="714" w:hanging="357"/>
        <w:contextualSpacing/>
        <w:jc w:val="both"/>
        <w:rPr>
          <w:rFonts w:eastAsia="Times New Roman" w:cs="Times New Roman"/>
          <w:sz w:val="24"/>
          <w:szCs w:val="24"/>
          <w:lang w:eastAsia="hr-HR"/>
        </w:rPr>
      </w:pPr>
      <w:r w:rsidRPr="001E4E40">
        <w:rPr>
          <w:rFonts w:eastAsia="Times New Roman" w:cs="Times New Roman"/>
          <w:sz w:val="24"/>
          <w:szCs w:val="24"/>
          <w:lang w:eastAsia="hr-HR"/>
        </w:rPr>
        <w:t xml:space="preserve">metodologiju izrade </w:t>
      </w:r>
      <w:r w:rsidR="002616E6" w:rsidRPr="001E4E40">
        <w:rPr>
          <w:rFonts w:eastAsia="Times New Roman" w:cs="Times New Roman"/>
          <w:sz w:val="24"/>
          <w:szCs w:val="24"/>
          <w:lang w:eastAsia="hr-HR"/>
        </w:rPr>
        <w:t xml:space="preserve">prijedloga </w:t>
      </w:r>
      <w:r w:rsidRPr="001E4E40">
        <w:rPr>
          <w:rFonts w:eastAsia="Times New Roman" w:cs="Times New Roman"/>
          <w:sz w:val="24"/>
          <w:szCs w:val="24"/>
          <w:lang w:eastAsia="hr-HR"/>
        </w:rPr>
        <w:t>financijskog plana proračunskih</w:t>
      </w:r>
      <w:r w:rsidR="00682C0D" w:rsidRPr="001E4E40">
        <w:rPr>
          <w:rFonts w:eastAsia="Times New Roman" w:cs="Times New Roman"/>
          <w:sz w:val="24"/>
          <w:szCs w:val="24"/>
          <w:lang w:eastAsia="hr-HR"/>
        </w:rPr>
        <w:t xml:space="preserve"> i izvanproračunskih</w:t>
      </w:r>
      <w:r w:rsidRPr="001E4E40">
        <w:rPr>
          <w:rFonts w:eastAsia="Times New Roman" w:cs="Times New Roman"/>
          <w:sz w:val="24"/>
          <w:szCs w:val="24"/>
          <w:lang w:eastAsia="hr-HR"/>
        </w:rPr>
        <w:t xml:space="preserve"> korisnika jedinic</w:t>
      </w:r>
      <w:r w:rsidR="004D2B2D">
        <w:rPr>
          <w:rFonts w:eastAsia="Times New Roman" w:cs="Times New Roman"/>
          <w:sz w:val="24"/>
          <w:szCs w:val="24"/>
          <w:lang w:eastAsia="hr-HR"/>
        </w:rPr>
        <w:t>a</w:t>
      </w:r>
      <w:r w:rsidR="002616E6" w:rsidRPr="001E4E40">
        <w:t xml:space="preserve"> </w:t>
      </w:r>
      <w:r w:rsidR="002616E6" w:rsidRPr="001E4E40">
        <w:rPr>
          <w:rFonts w:eastAsia="Times New Roman" w:cs="Times New Roman"/>
          <w:sz w:val="24"/>
          <w:szCs w:val="24"/>
          <w:lang w:eastAsia="hr-HR"/>
        </w:rPr>
        <w:t xml:space="preserve">lokalne i područne (regionalne) samouprave </w:t>
      </w:r>
      <w:r w:rsidR="00682C0D" w:rsidRPr="001E4E40">
        <w:rPr>
          <w:rFonts w:eastAsia="Times New Roman" w:cs="Times New Roman"/>
          <w:sz w:val="24"/>
          <w:szCs w:val="24"/>
          <w:lang w:eastAsia="hr-HR"/>
        </w:rPr>
        <w:t>,</w:t>
      </w:r>
      <w:r w:rsidRPr="001E4E40">
        <w:rPr>
          <w:rFonts w:eastAsia="Times New Roman" w:cs="Times New Roman"/>
          <w:sz w:val="24"/>
          <w:szCs w:val="24"/>
          <w:lang w:eastAsia="hr-HR"/>
        </w:rPr>
        <w:t xml:space="preserve"> </w:t>
      </w:r>
    </w:p>
    <w:p w14:paraId="24530EE4" w14:textId="30AE43C5" w:rsidR="00AB4259" w:rsidRDefault="00AB4259" w:rsidP="003D56A5">
      <w:pPr>
        <w:numPr>
          <w:ilvl w:val="0"/>
          <w:numId w:val="4"/>
        </w:numPr>
        <w:spacing w:after="0" w:line="240" w:lineRule="auto"/>
        <w:ind w:left="714" w:hanging="357"/>
        <w:contextualSpacing/>
        <w:jc w:val="both"/>
        <w:rPr>
          <w:rFonts w:eastAsia="Times New Roman" w:cs="Times New Roman"/>
          <w:sz w:val="24"/>
          <w:szCs w:val="24"/>
          <w:lang w:eastAsia="hr-HR"/>
        </w:rPr>
      </w:pPr>
      <w:r w:rsidRPr="001E4E40">
        <w:rPr>
          <w:rFonts w:eastAsia="Times New Roman" w:cs="Times New Roman"/>
          <w:sz w:val="24"/>
          <w:szCs w:val="24"/>
          <w:lang w:eastAsia="hr-HR"/>
        </w:rPr>
        <w:t xml:space="preserve">metodologiju izrade </w:t>
      </w:r>
      <w:r w:rsidR="002616E6" w:rsidRPr="001E4E40">
        <w:rPr>
          <w:rFonts w:eastAsia="Times New Roman" w:cs="Times New Roman"/>
          <w:sz w:val="24"/>
          <w:szCs w:val="24"/>
          <w:lang w:eastAsia="hr-HR"/>
        </w:rPr>
        <w:t xml:space="preserve">prijedloga </w:t>
      </w:r>
      <w:r w:rsidRPr="001E4E40">
        <w:rPr>
          <w:rFonts w:eastAsia="Times New Roman" w:cs="Times New Roman"/>
          <w:sz w:val="24"/>
          <w:szCs w:val="24"/>
          <w:lang w:eastAsia="hr-HR"/>
        </w:rPr>
        <w:t>proračuna jedinica lokalne i područne (regionalne) samouprave,</w:t>
      </w:r>
    </w:p>
    <w:p w14:paraId="286ABA27" w14:textId="329DEEF5" w:rsidR="003D56A5" w:rsidRPr="001E4E40" w:rsidRDefault="003D56A5" w:rsidP="003D56A5">
      <w:pPr>
        <w:numPr>
          <w:ilvl w:val="0"/>
          <w:numId w:val="4"/>
        </w:numPr>
        <w:spacing w:after="0" w:line="240" w:lineRule="auto"/>
        <w:ind w:left="714" w:hanging="357"/>
        <w:contextualSpacing/>
        <w:jc w:val="both"/>
        <w:rPr>
          <w:rFonts w:eastAsia="Times New Roman" w:cs="Times New Roman"/>
          <w:sz w:val="24"/>
          <w:szCs w:val="24"/>
          <w:lang w:eastAsia="hr-HR"/>
        </w:rPr>
      </w:pPr>
      <w:r>
        <w:rPr>
          <w:rFonts w:eastAsia="Times New Roman" w:cs="Times New Roman"/>
          <w:sz w:val="24"/>
          <w:szCs w:val="24"/>
          <w:lang w:eastAsia="hr-HR"/>
        </w:rPr>
        <w:t>dostav</w:t>
      </w:r>
      <w:r w:rsidR="004D2B2D">
        <w:rPr>
          <w:rFonts w:eastAsia="Times New Roman" w:cs="Times New Roman"/>
          <w:sz w:val="24"/>
          <w:szCs w:val="24"/>
          <w:lang w:eastAsia="hr-HR"/>
        </w:rPr>
        <w:t>u</w:t>
      </w:r>
      <w:r>
        <w:rPr>
          <w:rFonts w:eastAsia="Times New Roman" w:cs="Times New Roman"/>
          <w:sz w:val="24"/>
          <w:szCs w:val="24"/>
          <w:lang w:eastAsia="hr-HR"/>
        </w:rPr>
        <w:t xml:space="preserve"> dokumenata i unos podataka</w:t>
      </w:r>
      <w:r w:rsidR="00B0632D">
        <w:rPr>
          <w:rFonts w:eastAsia="Times New Roman" w:cs="Times New Roman"/>
          <w:sz w:val="24"/>
          <w:szCs w:val="24"/>
          <w:lang w:eastAsia="hr-HR"/>
        </w:rPr>
        <w:t>,</w:t>
      </w:r>
    </w:p>
    <w:p w14:paraId="3B09E48D" w14:textId="78B0A656" w:rsidR="002616E6" w:rsidRPr="001E4E40" w:rsidRDefault="002616E6" w:rsidP="003D56A5">
      <w:pPr>
        <w:numPr>
          <w:ilvl w:val="0"/>
          <w:numId w:val="4"/>
        </w:numPr>
        <w:spacing w:after="0" w:line="240" w:lineRule="auto"/>
        <w:ind w:left="714" w:hanging="357"/>
        <w:contextualSpacing/>
        <w:jc w:val="both"/>
        <w:rPr>
          <w:rFonts w:eastAsia="Times New Roman" w:cs="Times New Roman"/>
          <w:sz w:val="24"/>
          <w:szCs w:val="24"/>
          <w:lang w:eastAsia="hr-HR"/>
        </w:rPr>
      </w:pPr>
      <w:r w:rsidRPr="001E4E40">
        <w:rPr>
          <w:rFonts w:eastAsia="Times New Roman" w:cs="Times New Roman"/>
          <w:sz w:val="24"/>
          <w:szCs w:val="24"/>
          <w:lang w:eastAsia="hr-HR"/>
        </w:rPr>
        <w:t>planiranje rashoda proračunskih korisnika u sklopu decentraliziranih funkcija</w:t>
      </w:r>
      <w:r w:rsidR="00E838B7" w:rsidRPr="001E4E40">
        <w:rPr>
          <w:rFonts w:eastAsia="Times New Roman" w:cs="Times New Roman"/>
          <w:sz w:val="24"/>
          <w:szCs w:val="24"/>
          <w:lang w:eastAsia="hr-HR"/>
        </w:rPr>
        <w:t>,</w:t>
      </w:r>
    </w:p>
    <w:p w14:paraId="7491F11B" w14:textId="14897D67" w:rsidR="002616E6" w:rsidRPr="001E4E40" w:rsidRDefault="002616E6" w:rsidP="003D56A5">
      <w:pPr>
        <w:numPr>
          <w:ilvl w:val="0"/>
          <w:numId w:val="4"/>
        </w:numPr>
        <w:spacing w:after="0" w:line="240" w:lineRule="auto"/>
        <w:ind w:left="714" w:hanging="357"/>
        <w:contextualSpacing/>
        <w:jc w:val="both"/>
        <w:rPr>
          <w:rFonts w:eastAsia="Times New Roman" w:cs="Times New Roman"/>
          <w:sz w:val="24"/>
          <w:szCs w:val="24"/>
          <w:lang w:eastAsia="hr-HR"/>
        </w:rPr>
      </w:pPr>
      <w:r w:rsidRPr="001E4E40">
        <w:rPr>
          <w:rFonts w:eastAsia="Times New Roman" w:cs="Times New Roman"/>
          <w:sz w:val="24"/>
          <w:szCs w:val="24"/>
          <w:lang w:eastAsia="hr-HR"/>
        </w:rPr>
        <w:t>najavu o novoj Uredbi o sastavljanju i predaji izjave o fiskalnoj odgovornosti i izvještaja o primjeni fiskalnih pravila</w:t>
      </w:r>
      <w:r w:rsidR="004D2B2D">
        <w:rPr>
          <w:rFonts w:eastAsia="Times New Roman" w:cs="Times New Roman"/>
          <w:sz w:val="24"/>
          <w:szCs w:val="24"/>
          <w:lang w:eastAsia="hr-HR"/>
        </w:rPr>
        <w:t xml:space="preserve"> i</w:t>
      </w:r>
    </w:p>
    <w:p w14:paraId="3BF1FFBA" w14:textId="4CC166C4" w:rsidR="00AB4259" w:rsidRPr="001E4E40" w:rsidRDefault="00B0632D" w:rsidP="003D56A5">
      <w:pPr>
        <w:numPr>
          <w:ilvl w:val="0"/>
          <w:numId w:val="4"/>
        </w:numPr>
        <w:spacing w:after="0" w:line="240" w:lineRule="auto"/>
        <w:ind w:left="714" w:hanging="357"/>
        <w:contextualSpacing/>
        <w:jc w:val="both"/>
        <w:rPr>
          <w:rFonts w:eastAsia="Times New Roman" w:cs="Times New Roman"/>
          <w:sz w:val="24"/>
          <w:szCs w:val="24"/>
          <w:lang w:eastAsia="hr-HR"/>
        </w:rPr>
      </w:pPr>
      <w:r>
        <w:rPr>
          <w:rFonts w:eastAsia="Times New Roman" w:cs="Times New Roman"/>
          <w:sz w:val="24"/>
          <w:szCs w:val="24"/>
          <w:lang w:eastAsia="hr-HR"/>
        </w:rPr>
        <w:t>dostupnost materijala</w:t>
      </w:r>
      <w:r w:rsidR="005A3DAA" w:rsidRPr="001E4E40">
        <w:rPr>
          <w:rFonts w:eastAsia="Times New Roman" w:cs="Times New Roman"/>
          <w:sz w:val="24"/>
          <w:szCs w:val="24"/>
          <w:lang w:eastAsia="hr-HR"/>
        </w:rPr>
        <w:t>.</w:t>
      </w:r>
      <w:r w:rsidR="00DF59D3" w:rsidRPr="001E4E40">
        <w:rPr>
          <w:rFonts w:eastAsia="Times New Roman" w:cs="Times New Roman"/>
          <w:sz w:val="24"/>
          <w:szCs w:val="24"/>
          <w:lang w:eastAsia="hr-HR"/>
        </w:rPr>
        <w:t xml:space="preserve"> </w:t>
      </w:r>
    </w:p>
    <w:p w14:paraId="4DEC63C0" w14:textId="77777777" w:rsidR="00D23D6E" w:rsidRPr="001E4E40" w:rsidRDefault="00D23D6E" w:rsidP="006464A0">
      <w:pPr>
        <w:shd w:val="clear" w:color="auto" w:fill="FFFFFF"/>
        <w:spacing w:after="0" w:line="240" w:lineRule="auto"/>
        <w:jc w:val="both"/>
        <w:rPr>
          <w:rFonts w:eastAsia="Times New Roman" w:cs="Times New Roman"/>
          <w:sz w:val="24"/>
          <w:szCs w:val="24"/>
          <w:highlight w:val="yellow"/>
          <w:lang w:eastAsia="hr-HR"/>
        </w:rPr>
      </w:pPr>
    </w:p>
    <w:p w14:paraId="00BBAD26" w14:textId="77777777" w:rsidR="00FB3B06" w:rsidRPr="001E4E40" w:rsidRDefault="00AB4259"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Ove </w:t>
      </w:r>
      <w:r w:rsidR="00FB3B06" w:rsidRPr="001E4E40">
        <w:rPr>
          <w:rFonts w:eastAsia="Times New Roman" w:cs="Times New Roman"/>
          <w:sz w:val="24"/>
          <w:szCs w:val="24"/>
          <w:lang w:eastAsia="hr-HR"/>
        </w:rPr>
        <w:t>Upute dostavljaju se svim županijama, gradovima i općinama kako bi, na temelju istih i u skladu s odredbama Zakona o proračunu, izradile upute za izradu proračuna jedinice i dostavile ih svojim proračunskim i izvanproračunskim korisnicima.</w:t>
      </w:r>
    </w:p>
    <w:p w14:paraId="50576680" w14:textId="7A115902" w:rsidR="00754196" w:rsidRPr="00FA339C" w:rsidRDefault="00754196" w:rsidP="00DC06D2">
      <w:pPr>
        <w:keepNext/>
        <w:keepLines/>
        <w:numPr>
          <w:ilvl w:val="0"/>
          <w:numId w:val="2"/>
        </w:numPr>
        <w:spacing w:before="480" w:after="0" w:line="240" w:lineRule="auto"/>
        <w:ind w:left="714" w:hanging="357"/>
        <w:jc w:val="both"/>
        <w:outlineLvl w:val="0"/>
        <w:rPr>
          <w:rFonts w:eastAsiaTheme="majorEastAsia" w:cstheme="majorBidi"/>
          <w:b/>
          <w:bCs/>
          <w:sz w:val="28"/>
          <w:szCs w:val="24"/>
          <w:lang w:eastAsia="hr-HR"/>
        </w:rPr>
      </w:pPr>
      <w:bookmarkStart w:id="3" w:name="_Toc468196432"/>
      <w:bookmarkStart w:id="4" w:name="_Toc18594167"/>
      <w:r w:rsidRPr="00FA339C">
        <w:rPr>
          <w:rFonts w:eastAsiaTheme="majorEastAsia" w:cstheme="majorBidi"/>
          <w:b/>
          <w:bCs/>
          <w:sz w:val="28"/>
          <w:szCs w:val="24"/>
          <w:lang w:eastAsia="hr-HR"/>
        </w:rPr>
        <w:t>TEMELJNI MAKROEKONOMS</w:t>
      </w:r>
      <w:r w:rsidR="008C1938" w:rsidRPr="00FA339C">
        <w:rPr>
          <w:rFonts w:eastAsiaTheme="majorEastAsia" w:cstheme="majorBidi"/>
          <w:b/>
          <w:bCs/>
          <w:sz w:val="28"/>
          <w:szCs w:val="24"/>
          <w:lang w:eastAsia="hr-HR"/>
        </w:rPr>
        <w:t>KI POKAZATELJI ZA RAZDOBLJE 2020</w:t>
      </w:r>
      <w:r w:rsidR="0044773E" w:rsidRPr="00FA339C">
        <w:rPr>
          <w:rFonts w:eastAsiaTheme="majorEastAsia" w:cstheme="majorBidi"/>
          <w:b/>
          <w:bCs/>
          <w:sz w:val="28"/>
          <w:szCs w:val="24"/>
          <w:lang w:eastAsia="hr-HR"/>
        </w:rPr>
        <w:t>. - 202</w:t>
      </w:r>
      <w:r w:rsidR="008C1938" w:rsidRPr="00FA339C">
        <w:rPr>
          <w:rFonts w:eastAsiaTheme="majorEastAsia" w:cstheme="majorBidi"/>
          <w:b/>
          <w:bCs/>
          <w:sz w:val="28"/>
          <w:szCs w:val="24"/>
          <w:lang w:eastAsia="hr-HR"/>
        </w:rPr>
        <w:t>2</w:t>
      </w:r>
      <w:r w:rsidRPr="00FA339C">
        <w:rPr>
          <w:rFonts w:eastAsiaTheme="majorEastAsia" w:cstheme="majorBidi"/>
          <w:b/>
          <w:bCs/>
          <w:sz w:val="28"/>
          <w:szCs w:val="24"/>
          <w:lang w:eastAsia="hr-HR"/>
        </w:rPr>
        <w:t>.</w:t>
      </w:r>
      <w:bookmarkEnd w:id="3"/>
      <w:bookmarkEnd w:id="4"/>
      <w:r w:rsidRPr="00FA339C">
        <w:rPr>
          <w:rFonts w:eastAsiaTheme="majorEastAsia" w:cstheme="majorBidi"/>
          <w:b/>
          <w:bCs/>
          <w:sz w:val="28"/>
          <w:szCs w:val="24"/>
          <w:lang w:eastAsia="hr-HR"/>
        </w:rPr>
        <w:t xml:space="preserve"> </w:t>
      </w:r>
    </w:p>
    <w:p w14:paraId="440423AD" w14:textId="77777777" w:rsidR="00D23D6E" w:rsidRPr="001E4E40" w:rsidRDefault="00D23D6E" w:rsidP="00BE7F47">
      <w:pPr>
        <w:spacing w:after="0" w:line="240" w:lineRule="auto"/>
        <w:ind w:left="360"/>
        <w:rPr>
          <w:rFonts w:cstheme="minorHAnsi"/>
          <w:sz w:val="24"/>
          <w:szCs w:val="24"/>
          <w:highlight w:val="yellow"/>
        </w:rPr>
      </w:pPr>
    </w:p>
    <w:p w14:paraId="4C66F2B8" w14:textId="725F18CA" w:rsidR="00054A9B" w:rsidRDefault="00054A9B" w:rsidP="001E4E40">
      <w:pPr>
        <w:spacing w:after="0" w:line="240" w:lineRule="auto"/>
        <w:jc w:val="both"/>
        <w:rPr>
          <w:sz w:val="24"/>
          <w:szCs w:val="24"/>
        </w:rPr>
      </w:pPr>
      <w:r w:rsidRPr="001E4E40">
        <w:rPr>
          <w:sz w:val="24"/>
          <w:szCs w:val="24"/>
        </w:rPr>
        <w:t>Smjernice ekonomske i fiskalna politike za razdoblje 2020.</w:t>
      </w:r>
      <w:r w:rsidR="00B443ED" w:rsidRPr="001E4E40">
        <w:rPr>
          <w:sz w:val="24"/>
          <w:szCs w:val="24"/>
        </w:rPr>
        <w:t xml:space="preserve"> </w:t>
      </w:r>
      <w:r w:rsidRPr="001E4E40">
        <w:rPr>
          <w:sz w:val="24"/>
          <w:szCs w:val="24"/>
        </w:rPr>
        <w:t>-</w:t>
      </w:r>
      <w:r w:rsidR="00B443ED" w:rsidRPr="001E4E40">
        <w:rPr>
          <w:sz w:val="24"/>
          <w:szCs w:val="24"/>
        </w:rPr>
        <w:t xml:space="preserve"> </w:t>
      </w:r>
      <w:r w:rsidRPr="001E4E40">
        <w:rPr>
          <w:sz w:val="24"/>
          <w:szCs w:val="24"/>
        </w:rPr>
        <w:t xml:space="preserve">2022. godine sadrže </w:t>
      </w:r>
      <w:r w:rsidRPr="001E4E40">
        <w:rPr>
          <w:rFonts w:eastAsia="Times New Roman" w:cs="Times New Roman"/>
          <w:sz w:val="24"/>
          <w:szCs w:val="24"/>
          <w:lang w:eastAsia="hr-HR"/>
        </w:rPr>
        <w:t>ciljeve ekonomske politike te makroekonomski i fiskalni okvir opće države za trogodišnje razdoblje i</w:t>
      </w:r>
      <w:r w:rsidRPr="001E4E40">
        <w:rPr>
          <w:sz w:val="24"/>
          <w:szCs w:val="24"/>
        </w:rPr>
        <w:t xml:space="preserve"> objavljene su na mrežnoj stranici Ministarstva financija </w:t>
      </w:r>
      <w:hyperlink r:id="rId10" w:history="1">
        <w:r w:rsidRPr="001E4E40">
          <w:rPr>
            <w:rStyle w:val="Hyperlink"/>
            <w:rFonts w:cstheme="minorBidi"/>
            <w:sz w:val="24"/>
            <w:szCs w:val="24"/>
          </w:rPr>
          <w:t>http://www.mfin.hr/hr/smjernice-ekonomske-i-fiskalne-politike</w:t>
        </w:r>
      </w:hyperlink>
      <w:r w:rsidRPr="001E4E40">
        <w:rPr>
          <w:sz w:val="24"/>
          <w:szCs w:val="24"/>
        </w:rPr>
        <w:t>.</w:t>
      </w:r>
    </w:p>
    <w:p w14:paraId="31B93F22" w14:textId="77777777" w:rsidR="001E4E40" w:rsidRPr="001E4E40" w:rsidRDefault="001E4E40" w:rsidP="001E4E40">
      <w:pPr>
        <w:spacing w:after="0" w:line="240" w:lineRule="auto"/>
        <w:jc w:val="both"/>
        <w:rPr>
          <w:sz w:val="24"/>
          <w:szCs w:val="24"/>
        </w:rPr>
      </w:pPr>
    </w:p>
    <w:p w14:paraId="247A6778" w14:textId="77777777" w:rsidR="00054A9B" w:rsidRDefault="00054A9B" w:rsidP="001E4E40">
      <w:pPr>
        <w:spacing w:after="0" w:line="240" w:lineRule="auto"/>
        <w:jc w:val="both"/>
        <w:rPr>
          <w:sz w:val="24"/>
          <w:szCs w:val="24"/>
        </w:rPr>
      </w:pPr>
      <w:r w:rsidRPr="001E4E40">
        <w:rPr>
          <w:sz w:val="24"/>
          <w:szCs w:val="24"/>
        </w:rPr>
        <w:t>Smjernicama su najavljene i promjene u poreznom sustavu, a koje će utjecati na državni proračun i proračune jedinica lokalne i područne (regionalne) samouprave u narednom trogodišnjem razdoblju.</w:t>
      </w:r>
    </w:p>
    <w:p w14:paraId="2AB7C4C8" w14:textId="77777777" w:rsidR="001E4E40" w:rsidRPr="001E4E40" w:rsidRDefault="001E4E40" w:rsidP="001E4E40">
      <w:pPr>
        <w:spacing w:after="0" w:line="240" w:lineRule="auto"/>
        <w:jc w:val="both"/>
        <w:rPr>
          <w:sz w:val="24"/>
          <w:szCs w:val="24"/>
        </w:rPr>
      </w:pPr>
    </w:p>
    <w:p w14:paraId="689CD4FE" w14:textId="77777777" w:rsidR="00297560" w:rsidRPr="001E4E40" w:rsidRDefault="00297560" w:rsidP="00DC06D2">
      <w:pPr>
        <w:keepNext/>
        <w:keepLines/>
        <w:numPr>
          <w:ilvl w:val="0"/>
          <w:numId w:val="2"/>
        </w:numPr>
        <w:spacing w:before="480" w:after="0" w:line="240" w:lineRule="auto"/>
        <w:ind w:left="714" w:hanging="357"/>
        <w:jc w:val="both"/>
        <w:outlineLvl w:val="0"/>
        <w:rPr>
          <w:rFonts w:eastAsiaTheme="majorEastAsia" w:cstheme="majorBidi"/>
          <w:b/>
          <w:bCs/>
          <w:sz w:val="28"/>
          <w:szCs w:val="24"/>
          <w:lang w:eastAsia="hr-HR"/>
        </w:rPr>
      </w:pPr>
      <w:bookmarkStart w:id="5" w:name="_Toc18594168"/>
      <w:r w:rsidRPr="001E4E40">
        <w:rPr>
          <w:rFonts w:eastAsiaTheme="majorEastAsia" w:cstheme="majorBidi"/>
          <w:b/>
          <w:bCs/>
          <w:sz w:val="28"/>
          <w:szCs w:val="24"/>
          <w:lang w:eastAsia="hr-HR"/>
        </w:rPr>
        <w:lastRenderedPageBreak/>
        <w:t xml:space="preserve">METODOLOGIJA IZRADE PRIJEDLOGA FINANCIJSKOG PLANA </w:t>
      </w:r>
      <w:r w:rsidR="0013098B" w:rsidRPr="001E4E40">
        <w:rPr>
          <w:rFonts w:eastAsiaTheme="majorEastAsia" w:cstheme="majorBidi"/>
          <w:b/>
          <w:bCs/>
          <w:sz w:val="28"/>
          <w:szCs w:val="24"/>
          <w:lang w:eastAsia="hr-HR"/>
        </w:rPr>
        <w:t>PRORAČUNSKIH I IZVANPRORAČUNSKIH</w:t>
      </w:r>
      <w:r w:rsidR="00DE1632" w:rsidRPr="001E4E40">
        <w:rPr>
          <w:rFonts w:eastAsiaTheme="majorEastAsia" w:cstheme="majorBidi"/>
          <w:b/>
          <w:bCs/>
          <w:sz w:val="28"/>
          <w:szCs w:val="24"/>
          <w:lang w:eastAsia="hr-HR"/>
        </w:rPr>
        <w:t xml:space="preserve"> KORISNIKA JEDINICA</w:t>
      </w:r>
      <w:r w:rsidRPr="001E4E40">
        <w:rPr>
          <w:rFonts w:eastAsiaTheme="majorEastAsia" w:cstheme="majorBidi"/>
          <w:b/>
          <w:bCs/>
          <w:sz w:val="28"/>
          <w:szCs w:val="24"/>
          <w:lang w:eastAsia="hr-HR"/>
        </w:rPr>
        <w:t xml:space="preserve"> LOKALNE I PODRUČNE (REGIONALNE) SAMOUPRAVE</w:t>
      </w:r>
      <w:bookmarkEnd w:id="5"/>
    </w:p>
    <w:p w14:paraId="24C72B21" w14:textId="77777777" w:rsidR="000E4EFC" w:rsidRPr="001E4E40" w:rsidRDefault="000E4EFC" w:rsidP="006464A0">
      <w:pPr>
        <w:spacing w:after="0" w:line="240" w:lineRule="auto"/>
        <w:jc w:val="both"/>
        <w:rPr>
          <w:rFonts w:eastAsia="Times New Roman" w:cs="Times New Roman"/>
          <w:color w:val="FF0000"/>
          <w:sz w:val="24"/>
          <w:szCs w:val="24"/>
          <w:lang w:eastAsia="hr-HR"/>
        </w:rPr>
      </w:pPr>
    </w:p>
    <w:p w14:paraId="07CE56D3" w14:textId="77777777" w:rsidR="00297560" w:rsidRPr="001E4E40" w:rsidRDefault="00297560"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Proračunski i izvanproračunski korisnici jedinica lokalne i područne (regionalne) samouprave obvezni su izrađivati financijske planove u skladu s odredbama Zakona o proračunu</w:t>
      </w:r>
      <w:r w:rsidR="00A950EB" w:rsidRPr="001E4E40">
        <w:rPr>
          <w:rFonts w:eastAsia="Times New Roman" w:cs="Times New Roman"/>
          <w:sz w:val="24"/>
          <w:szCs w:val="24"/>
          <w:lang w:eastAsia="hr-HR"/>
        </w:rPr>
        <w:t>,</w:t>
      </w:r>
      <w:r w:rsidR="00A950EB" w:rsidRPr="001E4E40">
        <w:rPr>
          <w:sz w:val="24"/>
          <w:lang w:eastAsia="hr-HR"/>
        </w:rPr>
        <w:t xml:space="preserve"> Pravilnika o proračunskim klasifikacijama (Narodne novine, br. 26/10 i 120/13) i Pravilnika o proračunskom računovodstvu i Računskom planu (Naro</w:t>
      </w:r>
      <w:r w:rsidR="00B918E3" w:rsidRPr="001E4E40">
        <w:rPr>
          <w:sz w:val="24"/>
          <w:lang w:eastAsia="hr-HR"/>
        </w:rPr>
        <w:t>dne novine, br. 124/14, 115/15,</w:t>
      </w:r>
      <w:r w:rsidR="00A950EB" w:rsidRPr="001E4E40">
        <w:rPr>
          <w:sz w:val="24"/>
          <w:lang w:eastAsia="hr-HR"/>
        </w:rPr>
        <w:t xml:space="preserve"> 87/16</w:t>
      </w:r>
      <w:r w:rsidR="00B918E3" w:rsidRPr="001E4E40">
        <w:rPr>
          <w:sz w:val="24"/>
          <w:lang w:eastAsia="hr-HR"/>
        </w:rPr>
        <w:t xml:space="preserve"> i 3/18</w:t>
      </w:r>
      <w:r w:rsidR="00A950EB" w:rsidRPr="001E4E40">
        <w:rPr>
          <w:sz w:val="24"/>
          <w:lang w:eastAsia="hr-HR"/>
        </w:rPr>
        <w:t>) te se p</w:t>
      </w:r>
      <w:r w:rsidRPr="001E4E40">
        <w:rPr>
          <w:rFonts w:eastAsia="Times New Roman" w:cs="Times New Roman"/>
          <w:sz w:val="24"/>
          <w:szCs w:val="24"/>
          <w:lang w:eastAsia="hr-HR"/>
        </w:rPr>
        <w:t xml:space="preserve">ridržavati ovih Uputa. </w:t>
      </w:r>
    </w:p>
    <w:p w14:paraId="11E59B38" w14:textId="77777777" w:rsidR="00297560" w:rsidRPr="001E4E40" w:rsidRDefault="00297560" w:rsidP="006464A0">
      <w:pPr>
        <w:spacing w:after="0" w:line="240" w:lineRule="auto"/>
        <w:jc w:val="both"/>
        <w:rPr>
          <w:rFonts w:eastAsia="Times New Roman" w:cs="Times New Roman"/>
          <w:sz w:val="24"/>
          <w:szCs w:val="24"/>
          <w:lang w:eastAsia="hr-HR"/>
        </w:rPr>
      </w:pPr>
    </w:p>
    <w:p w14:paraId="30808085" w14:textId="77777777" w:rsidR="00297560" w:rsidRPr="001E4E40" w:rsidRDefault="00297560"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Proračunski i izvanproračunski korisnici jedinica lokalne i područne (regionalne) samouprave svoje financijske planove dostavljaju jedinici čiji su korisnici, odnosno nadležnom upravnom tijelu. </w:t>
      </w:r>
    </w:p>
    <w:p w14:paraId="4CCF4B9A" w14:textId="77777777" w:rsidR="00297560" w:rsidRPr="001E4E40" w:rsidRDefault="00297560" w:rsidP="006464A0">
      <w:pPr>
        <w:spacing w:after="0" w:line="240" w:lineRule="auto"/>
        <w:jc w:val="both"/>
        <w:rPr>
          <w:rFonts w:eastAsia="Times New Roman" w:cs="Times New Roman"/>
          <w:sz w:val="24"/>
          <w:szCs w:val="24"/>
          <w:lang w:eastAsia="hr-HR"/>
        </w:rPr>
      </w:pPr>
    </w:p>
    <w:p w14:paraId="47943241" w14:textId="77777777" w:rsidR="00297560" w:rsidRDefault="006821CF"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Proračunski korisnici</w:t>
      </w:r>
      <w:r w:rsidR="00297560" w:rsidRPr="001E4E40">
        <w:rPr>
          <w:rFonts w:eastAsia="Times New Roman" w:cs="Times New Roman"/>
          <w:sz w:val="24"/>
          <w:szCs w:val="24"/>
          <w:lang w:eastAsia="hr-HR"/>
        </w:rPr>
        <w:t xml:space="preserve"> u financijskom planu treba</w:t>
      </w:r>
      <w:r w:rsidRPr="001E4E40">
        <w:rPr>
          <w:rFonts w:eastAsia="Times New Roman" w:cs="Times New Roman"/>
          <w:sz w:val="24"/>
          <w:szCs w:val="24"/>
          <w:lang w:eastAsia="hr-HR"/>
        </w:rPr>
        <w:t>ju</w:t>
      </w:r>
      <w:r w:rsidR="00297560" w:rsidRPr="001E4E40">
        <w:rPr>
          <w:rFonts w:eastAsia="Times New Roman" w:cs="Times New Roman"/>
          <w:sz w:val="24"/>
          <w:szCs w:val="24"/>
          <w:lang w:eastAsia="hr-HR"/>
        </w:rPr>
        <w:t xml:space="preserve"> iskazati sve svoje prihode i rashode bez obzira na moguće uplate dijela prihoda korisnika u proračun jedinice lokalne i područne (regionalne) samouprave ili podmirivanje dijela rashoda korisnika izravno s računa proračuna. </w:t>
      </w:r>
    </w:p>
    <w:p w14:paraId="5EDEB4D5" w14:textId="77777777" w:rsidR="00AE6DA3" w:rsidRPr="001E4E40" w:rsidRDefault="00AE6DA3" w:rsidP="006464A0">
      <w:pPr>
        <w:spacing w:after="0" w:line="240" w:lineRule="auto"/>
        <w:jc w:val="both"/>
        <w:rPr>
          <w:rFonts w:eastAsia="Times New Roman" w:cs="Times New Roman"/>
          <w:sz w:val="24"/>
          <w:szCs w:val="24"/>
          <w:lang w:eastAsia="hr-HR"/>
        </w:rPr>
      </w:pPr>
    </w:p>
    <w:p w14:paraId="1B58C341" w14:textId="77777777" w:rsidR="00297560" w:rsidRPr="001E4E40" w:rsidRDefault="00297560"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Prijedlog financijskog</w:t>
      </w:r>
      <w:r w:rsidR="00C019FB" w:rsidRPr="001E4E40">
        <w:rPr>
          <w:rFonts w:eastAsia="Times New Roman" w:cs="Times New Roman"/>
          <w:sz w:val="24"/>
          <w:szCs w:val="24"/>
          <w:lang w:eastAsia="hr-HR"/>
        </w:rPr>
        <w:t xml:space="preserve"> plana proračunskih i izvanproračunskih</w:t>
      </w:r>
      <w:r w:rsidRPr="001E4E40">
        <w:rPr>
          <w:rFonts w:eastAsia="Times New Roman" w:cs="Times New Roman"/>
          <w:sz w:val="24"/>
          <w:szCs w:val="24"/>
          <w:lang w:eastAsia="hr-HR"/>
        </w:rPr>
        <w:t xml:space="preserve"> korisnika (županijske up</w:t>
      </w:r>
      <w:r w:rsidR="0013098B" w:rsidRPr="001E4E40">
        <w:rPr>
          <w:rFonts w:eastAsia="Times New Roman" w:cs="Times New Roman"/>
          <w:sz w:val="24"/>
          <w:szCs w:val="24"/>
          <w:lang w:eastAsia="hr-HR"/>
        </w:rPr>
        <w:t xml:space="preserve">rave za ceste) za razdoblje </w:t>
      </w:r>
      <w:r w:rsidR="00C86CFF" w:rsidRPr="001E4E40">
        <w:rPr>
          <w:rFonts w:eastAsia="Times New Roman" w:cs="Times New Roman"/>
          <w:sz w:val="24"/>
          <w:szCs w:val="24"/>
          <w:lang w:eastAsia="hr-HR"/>
        </w:rPr>
        <w:t>2020</w:t>
      </w:r>
      <w:r w:rsidR="0013098B" w:rsidRPr="001E4E40">
        <w:rPr>
          <w:rFonts w:eastAsia="Times New Roman" w:cs="Times New Roman"/>
          <w:sz w:val="24"/>
          <w:szCs w:val="24"/>
          <w:lang w:eastAsia="hr-HR"/>
        </w:rPr>
        <w:t xml:space="preserve">. - </w:t>
      </w:r>
      <w:r w:rsidR="00C86CFF" w:rsidRPr="001E4E40">
        <w:rPr>
          <w:rFonts w:eastAsia="Times New Roman" w:cs="Times New Roman"/>
          <w:sz w:val="24"/>
          <w:szCs w:val="24"/>
          <w:lang w:eastAsia="hr-HR"/>
        </w:rPr>
        <w:t>2022</w:t>
      </w:r>
      <w:r w:rsidRPr="001E4E40">
        <w:rPr>
          <w:rFonts w:eastAsia="Times New Roman" w:cs="Times New Roman"/>
          <w:sz w:val="24"/>
          <w:szCs w:val="24"/>
          <w:lang w:eastAsia="hr-HR"/>
        </w:rPr>
        <w:t>. u skladu s odredbama Zakona o proračunu sadrži:</w:t>
      </w:r>
    </w:p>
    <w:p w14:paraId="37474DB6" w14:textId="77777777" w:rsidR="00297560" w:rsidRPr="001E4E40" w:rsidRDefault="00297560" w:rsidP="00B725F7">
      <w:pPr>
        <w:spacing w:after="0" w:line="240" w:lineRule="auto"/>
        <w:ind w:left="714" w:hanging="357"/>
        <w:jc w:val="both"/>
        <w:rPr>
          <w:rFonts w:eastAsia="Times New Roman" w:cs="Times New Roman"/>
          <w:sz w:val="24"/>
          <w:szCs w:val="24"/>
          <w:lang w:eastAsia="hr-HR"/>
        </w:rPr>
      </w:pPr>
      <w:r w:rsidRPr="001E4E40">
        <w:rPr>
          <w:rFonts w:eastAsia="Times New Roman" w:cs="Times New Roman"/>
          <w:sz w:val="24"/>
          <w:szCs w:val="24"/>
          <w:lang w:eastAsia="hr-HR"/>
        </w:rPr>
        <w:t>•</w:t>
      </w:r>
      <w:r w:rsidRPr="001E4E40">
        <w:rPr>
          <w:rFonts w:eastAsia="Times New Roman" w:cs="Times New Roman"/>
          <w:sz w:val="24"/>
          <w:szCs w:val="24"/>
          <w:lang w:eastAsia="hr-HR"/>
        </w:rPr>
        <w:tab/>
        <w:t>procjene prihoda i primitaka iskaz</w:t>
      </w:r>
      <w:r w:rsidR="0013098B" w:rsidRPr="001E4E40">
        <w:rPr>
          <w:rFonts w:eastAsia="Times New Roman" w:cs="Times New Roman"/>
          <w:sz w:val="24"/>
          <w:szCs w:val="24"/>
          <w:lang w:eastAsia="hr-HR"/>
        </w:rPr>
        <w:t>ane po vrstama za razdoblje 20</w:t>
      </w:r>
      <w:r w:rsidR="00C83617" w:rsidRPr="001E4E40">
        <w:rPr>
          <w:rFonts w:eastAsia="Times New Roman" w:cs="Times New Roman"/>
          <w:sz w:val="24"/>
          <w:szCs w:val="24"/>
          <w:lang w:eastAsia="hr-HR"/>
        </w:rPr>
        <w:t>20</w:t>
      </w:r>
      <w:r w:rsidR="0013098B" w:rsidRPr="001E4E40">
        <w:rPr>
          <w:rFonts w:eastAsia="Times New Roman" w:cs="Times New Roman"/>
          <w:sz w:val="24"/>
          <w:szCs w:val="24"/>
          <w:lang w:eastAsia="hr-HR"/>
        </w:rPr>
        <w:t>. - 20</w:t>
      </w:r>
      <w:r w:rsidR="00C83617" w:rsidRPr="001E4E40">
        <w:rPr>
          <w:rFonts w:eastAsia="Times New Roman" w:cs="Times New Roman"/>
          <w:sz w:val="24"/>
          <w:szCs w:val="24"/>
          <w:lang w:eastAsia="hr-HR"/>
        </w:rPr>
        <w:t>22</w:t>
      </w:r>
      <w:r w:rsidRPr="001E4E40">
        <w:rPr>
          <w:rFonts w:eastAsia="Times New Roman" w:cs="Times New Roman"/>
          <w:sz w:val="24"/>
          <w:szCs w:val="24"/>
          <w:lang w:eastAsia="hr-HR"/>
        </w:rPr>
        <w:t>.,</w:t>
      </w:r>
    </w:p>
    <w:p w14:paraId="457D0254" w14:textId="77777777" w:rsidR="00297560" w:rsidRPr="001E4E40" w:rsidRDefault="00297560" w:rsidP="00B725F7">
      <w:pPr>
        <w:spacing w:after="0" w:line="240" w:lineRule="auto"/>
        <w:ind w:left="714" w:hanging="357"/>
        <w:jc w:val="both"/>
        <w:rPr>
          <w:rFonts w:eastAsia="Times New Roman" w:cs="Times New Roman"/>
          <w:sz w:val="24"/>
          <w:szCs w:val="24"/>
          <w:lang w:eastAsia="hr-HR"/>
        </w:rPr>
      </w:pPr>
      <w:r w:rsidRPr="001E4E40">
        <w:rPr>
          <w:rFonts w:eastAsia="Times New Roman" w:cs="Times New Roman"/>
          <w:sz w:val="24"/>
          <w:szCs w:val="24"/>
          <w:lang w:eastAsia="hr-HR"/>
        </w:rPr>
        <w:t>•</w:t>
      </w:r>
      <w:r w:rsidRPr="001E4E40">
        <w:rPr>
          <w:rFonts w:eastAsia="Times New Roman" w:cs="Times New Roman"/>
          <w:sz w:val="24"/>
          <w:szCs w:val="24"/>
          <w:lang w:eastAsia="hr-HR"/>
        </w:rPr>
        <w:tab/>
        <w:t>plan rash</w:t>
      </w:r>
      <w:r w:rsidR="0013098B" w:rsidRPr="001E4E40">
        <w:rPr>
          <w:rFonts w:eastAsia="Times New Roman" w:cs="Times New Roman"/>
          <w:sz w:val="24"/>
          <w:szCs w:val="24"/>
          <w:lang w:eastAsia="hr-HR"/>
        </w:rPr>
        <w:t>oda i izdataka za razdoblje 20</w:t>
      </w:r>
      <w:r w:rsidR="00C83617" w:rsidRPr="001E4E40">
        <w:rPr>
          <w:rFonts w:eastAsia="Times New Roman" w:cs="Times New Roman"/>
          <w:sz w:val="24"/>
          <w:szCs w:val="24"/>
          <w:lang w:eastAsia="hr-HR"/>
        </w:rPr>
        <w:t>20</w:t>
      </w:r>
      <w:r w:rsidRPr="001E4E40">
        <w:rPr>
          <w:rFonts w:eastAsia="Times New Roman" w:cs="Times New Roman"/>
          <w:sz w:val="24"/>
          <w:szCs w:val="24"/>
          <w:lang w:eastAsia="hr-HR"/>
        </w:rPr>
        <w:t xml:space="preserve">. </w:t>
      </w:r>
      <w:r w:rsidR="0013098B" w:rsidRPr="001E4E40">
        <w:rPr>
          <w:rFonts w:eastAsia="Times New Roman" w:cs="Times New Roman"/>
          <w:sz w:val="24"/>
          <w:szCs w:val="24"/>
          <w:lang w:eastAsia="hr-HR"/>
        </w:rPr>
        <w:t>- 20</w:t>
      </w:r>
      <w:r w:rsidR="00C83617" w:rsidRPr="001E4E40">
        <w:rPr>
          <w:rFonts w:eastAsia="Times New Roman" w:cs="Times New Roman"/>
          <w:sz w:val="24"/>
          <w:szCs w:val="24"/>
          <w:lang w:eastAsia="hr-HR"/>
        </w:rPr>
        <w:t>22</w:t>
      </w:r>
      <w:r w:rsidRPr="001E4E40">
        <w:rPr>
          <w:rFonts w:eastAsia="Times New Roman" w:cs="Times New Roman"/>
          <w:sz w:val="24"/>
          <w:szCs w:val="24"/>
          <w:lang w:eastAsia="hr-HR"/>
        </w:rPr>
        <w:t>., razvrstane prema proračunskim klasifikacijama i</w:t>
      </w:r>
    </w:p>
    <w:p w14:paraId="67CF27BB" w14:textId="77777777" w:rsidR="00297560" w:rsidRPr="001E4E40" w:rsidRDefault="00297560" w:rsidP="00B725F7">
      <w:pPr>
        <w:spacing w:after="0" w:line="240" w:lineRule="auto"/>
        <w:ind w:left="714" w:hanging="357"/>
        <w:jc w:val="both"/>
        <w:rPr>
          <w:rFonts w:eastAsia="Times New Roman" w:cs="Times New Roman"/>
          <w:sz w:val="24"/>
          <w:szCs w:val="24"/>
          <w:lang w:eastAsia="hr-HR"/>
        </w:rPr>
      </w:pPr>
      <w:r w:rsidRPr="001E4E40">
        <w:rPr>
          <w:rFonts w:eastAsia="Times New Roman" w:cs="Times New Roman"/>
          <w:sz w:val="24"/>
          <w:szCs w:val="24"/>
          <w:lang w:eastAsia="hr-HR"/>
        </w:rPr>
        <w:t>•</w:t>
      </w:r>
      <w:r w:rsidRPr="001E4E40">
        <w:rPr>
          <w:rFonts w:eastAsia="Times New Roman" w:cs="Times New Roman"/>
          <w:sz w:val="24"/>
          <w:szCs w:val="24"/>
          <w:lang w:eastAsia="hr-HR"/>
        </w:rPr>
        <w:tab/>
        <w:t>obrazloženje prijedloga financijskog plana.</w:t>
      </w:r>
    </w:p>
    <w:p w14:paraId="11341B43" w14:textId="77777777" w:rsidR="00297560" w:rsidRPr="001E4E40" w:rsidRDefault="00297560" w:rsidP="006464A0">
      <w:pPr>
        <w:spacing w:after="0" w:line="240" w:lineRule="auto"/>
        <w:jc w:val="both"/>
        <w:rPr>
          <w:rFonts w:eastAsia="Times New Roman" w:cs="Times New Roman"/>
          <w:sz w:val="24"/>
          <w:szCs w:val="24"/>
          <w:lang w:eastAsia="hr-HR"/>
        </w:rPr>
      </w:pPr>
    </w:p>
    <w:p w14:paraId="17068327" w14:textId="77777777" w:rsidR="00297560" w:rsidRPr="001E4E40" w:rsidRDefault="00297560"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Proraču</w:t>
      </w:r>
      <w:r w:rsidR="00C019FB" w:rsidRPr="001E4E40">
        <w:rPr>
          <w:rFonts w:eastAsia="Times New Roman" w:cs="Times New Roman"/>
          <w:sz w:val="24"/>
          <w:szCs w:val="24"/>
          <w:lang w:eastAsia="hr-HR"/>
        </w:rPr>
        <w:t>nski i izvanproračunski korisnici jedinica</w:t>
      </w:r>
      <w:r w:rsidRPr="001E4E40">
        <w:rPr>
          <w:rFonts w:eastAsia="Times New Roman" w:cs="Times New Roman"/>
          <w:sz w:val="24"/>
          <w:szCs w:val="24"/>
          <w:lang w:eastAsia="hr-HR"/>
        </w:rPr>
        <w:t xml:space="preserve"> lokalne i područne (regionalne) samouprave prihode i pri</w:t>
      </w:r>
      <w:r w:rsidR="00ED7EF5" w:rsidRPr="001E4E40">
        <w:rPr>
          <w:rFonts w:eastAsia="Times New Roman" w:cs="Times New Roman"/>
          <w:sz w:val="24"/>
          <w:szCs w:val="24"/>
          <w:lang w:eastAsia="hr-HR"/>
        </w:rPr>
        <w:t xml:space="preserve">mitke, rashode i izdatke za </w:t>
      </w:r>
      <w:r w:rsidR="00C86CFF" w:rsidRPr="001E4E40">
        <w:rPr>
          <w:rFonts w:eastAsia="Times New Roman" w:cs="Times New Roman"/>
          <w:sz w:val="24"/>
          <w:szCs w:val="24"/>
          <w:lang w:eastAsia="hr-HR"/>
        </w:rPr>
        <w:t>2020</w:t>
      </w:r>
      <w:r w:rsidRPr="001E4E40">
        <w:rPr>
          <w:rFonts w:eastAsia="Times New Roman" w:cs="Times New Roman"/>
          <w:sz w:val="24"/>
          <w:szCs w:val="24"/>
          <w:lang w:eastAsia="hr-HR"/>
        </w:rPr>
        <w:t>. godinu planira</w:t>
      </w:r>
      <w:r w:rsidR="00C019FB" w:rsidRPr="001E4E40">
        <w:rPr>
          <w:rFonts w:eastAsia="Times New Roman" w:cs="Times New Roman"/>
          <w:sz w:val="24"/>
          <w:szCs w:val="24"/>
          <w:lang w:eastAsia="hr-HR"/>
        </w:rPr>
        <w:t>ju</w:t>
      </w:r>
      <w:r w:rsidRPr="001E4E40">
        <w:rPr>
          <w:rFonts w:eastAsia="Times New Roman" w:cs="Times New Roman"/>
          <w:sz w:val="24"/>
          <w:szCs w:val="24"/>
          <w:lang w:eastAsia="hr-HR"/>
        </w:rPr>
        <w:t xml:space="preserve"> na razini podskupine (treća ra</w:t>
      </w:r>
      <w:r w:rsidR="00ED7EF5" w:rsidRPr="001E4E40">
        <w:rPr>
          <w:rFonts w:eastAsia="Times New Roman" w:cs="Times New Roman"/>
          <w:sz w:val="24"/>
          <w:szCs w:val="24"/>
          <w:lang w:eastAsia="hr-HR"/>
        </w:rPr>
        <w:t xml:space="preserve">zina računskog plana), a za </w:t>
      </w:r>
      <w:r w:rsidR="00C86CFF" w:rsidRPr="001E4E40">
        <w:rPr>
          <w:rFonts w:eastAsia="Times New Roman" w:cs="Times New Roman"/>
          <w:sz w:val="24"/>
          <w:szCs w:val="24"/>
          <w:lang w:eastAsia="hr-HR"/>
        </w:rPr>
        <w:t>2021</w:t>
      </w:r>
      <w:r w:rsidR="00ED7EF5" w:rsidRPr="001E4E40">
        <w:rPr>
          <w:rFonts w:eastAsia="Times New Roman" w:cs="Times New Roman"/>
          <w:sz w:val="24"/>
          <w:szCs w:val="24"/>
          <w:lang w:eastAsia="hr-HR"/>
        </w:rPr>
        <w:t xml:space="preserve">. i </w:t>
      </w:r>
      <w:r w:rsidR="00C86CFF" w:rsidRPr="001E4E40">
        <w:rPr>
          <w:rFonts w:eastAsia="Times New Roman" w:cs="Times New Roman"/>
          <w:sz w:val="24"/>
          <w:szCs w:val="24"/>
          <w:lang w:eastAsia="hr-HR"/>
        </w:rPr>
        <w:t>2022</w:t>
      </w:r>
      <w:r w:rsidRPr="001E4E40">
        <w:rPr>
          <w:rFonts w:eastAsia="Times New Roman" w:cs="Times New Roman"/>
          <w:sz w:val="24"/>
          <w:szCs w:val="24"/>
          <w:lang w:eastAsia="hr-HR"/>
        </w:rPr>
        <w:t>.</w:t>
      </w:r>
      <w:r w:rsidR="00C019FB" w:rsidRPr="001E4E40">
        <w:rPr>
          <w:rFonts w:eastAsia="Times New Roman" w:cs="Times New Roman"/>
          <w:sz w:val="24"/>
          <w:szCs w:val="24"/>
          <w:lang w:eastAsia="hr-HR"/>
        </w:rPr>
        <w:t xml:space="preserve"> godinu</w:t>
      </w:r>
      <w:r w:rsidRPr="001E4E40">
        <w:rPr>
          <w:rFonts w:eastAsia="Times New Roman" w:cs="Times New Roman"/>
          <w:sz w:val="24"/>
          <w:szCs w:val="24"/>
          <w:lang w:eastAsia="hr-HR"/>
        </w:rPr>
        <w:t xml:space="preserve"> na razini skupine (druga razina računskog plana). </w:t>
      </w:r>
    </w:p>
    <w:p w14:paraId="6FE23047" w14:textId="77777777" w:rsidR="00297560" w:rsidRPr="001E4E40" w:rsidRDefault="00297560" w:rsidP="006464A0">
      <w:pPr>
        <w:spacing w:after="0" w:line="240" w:lineRule="auto"/>
        <w:jc w:val="both"/>
        <w:rPr>
          <w:rFonts w:eastAsia="Times New Roman" w:cs="Times New Roman"/>
          <w:sz w:val="24"/>
          <w:szCs w:val="24"/>
          <w:lang w:eastAsia="hr-HR"/>
        </w:rPr>
      </w:pPr>
    </w:p>
    <w:p w14:paraId="53630E13" w14:textId="77777777" w:rsidR="00097A01" w:rsidRPr="001E4E40" w:rsidRDefault="00297560" w:rsidP="00097A01">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Uz ekonomsku i programsku klasifikaciju, proračunski i izvanproračunski korisnici jedinica lokalne i područne (regionalne) samouprave u izradi financijskog plana primjenjuju </w:t>
      </w:r>
      <w:r w:rsidR="002A7D78" w:rsidRPr="001E4E40">
        <w:rPr>
          <w:rFonts w:eastAsia="Times New Roman" w:cs="Times New Roman"/>
          <w:sz w:val="24"/>
          <w:szCs w:val="24"/>
          <w:lang w:eastAsia="hr-HR"/>
        </w:rPr>
        <w:t xml:space="preserve">i </w:t>
      </w:r>
      <w:r w:rsidRPr="001E4E40">
        <w:rPr>
          <w:rFonts w:eastAsia="Times New Roman" w:cs="Times New Roman"/>
          <w:sz w:val="24"/>
          <w:szCs w:val="24"/>
          <w:lang w:eastAsia="hr-HR"/>
        </w:rPr>
        <w:t>klasifikaciju po izvorima financiranja.</w:t>
      </w:r>
      <w:r w:rsidR="00303B39" w:rsidRPr="001E4E40">
        <w:rPr>
          <w:rFonts w:eastAsia="Times New Roman" w:cs="Times New Roman"/>
          <w:sz w:val="24"/>
          <w:szCs w:val="24"/>
          <w:lang w:eastAsia="hr-HR"/>
        </w:rPr>
        <w:t xml:space="preserve"> Sukladno članku 19. stavku 3. </w:t>
      </w:r>
      <w:r w:rsidR="00303B39" w:rsidRPr="001E4E40">
        <w:rPr>
          <w:sz w:val="24"/>
          <w:lang w:eastAsia="hr-HR"/>
        </w:rPr>
        <w:t>Pravilnika o proračunskim klasifikacijama</w:t>
      </w:r>
      <w:r w:rsidRPr="001E4E40">
        <w:rPr>
          <w:rFonts w:eastAsia="Times New Roman" w:cs="Times New Roman"/>
          <w:sz w:val="24"/>
          <w:szCs w:val="24"/>
          <w:lang w:eastAsia="hr-HR"/>
        </w:rPr>
        <w:t xml:space="preserve"> </w:t>
      </w:r>
      <w:r w:rsidR="00303B39" w:rsidRPr="001E4E40">
        <w:rPr>
          <w:rFonts w:eastAsia="Times New Roman" w:cs="Times New Roman"/>
          <w:sz w:val="24"/>
          <w:szCs w:val="24"/>
          <w:lang w:eastAsia="hr-HR"/>
        </w:rPr>
        <w:t>upravno tijelo za financije jedinice lokalne i područne (regionalne) samouprave određuje brojčane oznake i nazive druge razine izvora financiranja.</w:t>
      </w:r>
    </w:p>
    <w:p w14:paraId="74921A96" w14:textId="77777777" w:rsidR="001E4E40" w:rsidRDefault="001E4E40" w:rsidP="006464A0">
      <w:pPr>
        <w:spacing w:after="0" w:line="240" w:lineRule="auto"/>
        <w:jc w:val="both"/>
        <w:rPr>
          <w:rFonts w:eastAsia="Times New Roman" w:cs="Times New Roman"/>
          <w:sz w:val="24"/>
          <w:szCs w:val="24"/>
          <w:lang w:eastAsia="hr-HR"/>
        </w:rPr>
      </w:pPr>
    </w:p>
    <w:p w14:paraId="52E8D5BA" w14:textId="77777777" w:rsidR="00297560" w:rsidRPr="001E4E40" w:rsidRDefault="00297560"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Upravna vijeća, školski odbori i ostala upravljačka tijela proračunskih korisnika jedinica (škole, vrtići, knjižnice</w:t>
      </w:r>
      <w:r w:rsidR="00A4210A" w:rsidRPr="001E4E40">
        <w:rPr>
          <w:rFonts w:eastAsia="Times New Roman" w:cs="Times New Roman"/>
          <w:sz w:val="24"/>
          <w:szCs w:val="24"/>
          <w:lang w:eastAsia="hr-HR"/>
        </w:rPr>
        <w:t xml:space="preserve"> </w:t>
      </w:r>
      <w:r w:rsidRPr="001E4E40">
        <w:rPr>
          <w:rFonts w:eastAsia="Times New Roman" w:cs="Times New Roman"/>
          <w:sz w:val="24"/>
          <w:szCs w:val="24"/>
          <w:lang w:eastAsia="hr-HR"/>
        </w:rPr>
        <w:t>…) obvezni su usvojiti financijski plan do kraja godine</w:t>
      </w:r>
      <w:r w:rsidR="000C7386" w:rsidRPr="001E4E40">
        <w:rPr>
          <w:rFonts w:eastAsia="Times New Roman" w:cs="Times New Roman"/>
          <w:sz w:val="24"/>
          <w:szCs w:val="24"/>
          <w:lang w:eastAsia="hr-HR"/>
        </w:rPr>
        <w:t>, kako bi se od 1. siječnja 20</w:t>
      </w:r>
      <w:r w:rsidR="00C83617" w:rsidRPr="001E4E40">
        <w:rPr>
          <w:rFonts w:eastAsia="Times New Roman" w:cs="Times New Roman"/>
          <w:sz w:val="24"/>
          <w:szCs w:val="24"/>
          <w:lang w:eastAsia="hr-HR"/>
        </w:rPr>
        <w:t>20</w:t>
      </w:r>
      <w:r w:rsidRPr="001E4E40">
        <w:rPr>
          <w:rFonts w:eastAsia="Times New Roman" w:cs="Times New Roman"/>
          <w:sz w:val="24"/>
          <w:szCs w:val="24"/>
          <w:lang w:eastAsia="hr-HR"/>
        </w:rPr>
        <w:t xml:space="preserve">. </w:t>
      </w:r>
      <w:r w:rsidR="008B413A" w:rsidRPr="001E4E40">
        <w:rPr>
          <w:rFonts w:eastAsia="Times New Roman" w:cs="Times New Roman"/>
          <w:sz w:val="24"/>
          <w:szCs w:val="24"/>
          <w:lang w:eastAsia="hr-HR"/>
        </w:rPr>
        <w:t xml:space="preserve">godine </w:t>
      </w:r>
      <w:r w:rsidRPr="001E4E40">
        <w:rPr>
          <w:rFonts w:eastAsia="Times New Roman" w:cs="Times New Roman"/>
          <w:sz w:val="24"/>
          <w:szCs w:val="24"/>
          <w:lang w:eastAsia="hr-HR"/>
        </w:rPr>
        <w:t xml:space="preserve">mogle preuzimati i izvršavati nove obveze. </w:t>
      </w:r>
    </w:p>
    <w:p w14:paraId="495C1790" w14:textId="77777777" w:rsidR="00297560" w:rsidRPr="001E4E40" w:rsidRDefault="00297560" w:rsidP="006464A0">
      <w:pPr>
        <w:spacing w:after="0" w:line="240" w:lineRule="auto"/>
        <w:jc w:val="both"/>
        <w:rPr>
          <w:rFonts w:eastAsia="Times New Roman" w:cs="Times New Roman"/>
          <w:sz w:val="24"/>
          <w:szCs w:val="24"/>
          <w:lang w:eastAsia="hr-HR"/>
        </w:rPr>
      </w:pPr>
    </w:p>
    <w:p w14:paraId="6D00C4BA" w14:textId="77777777" w:rsidR="00297560" w:rsidRPr="001E4E40" w:rsidRDefault="00297560"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Temeljem zahtjeva nadležn</w:t>
      </w:r>
      <w:r w:rsidR="00F455D5" w:rsidRPr="001E4E40">
        <w:rPr>
          <w:rFonts w:eastAsia="Times New Roman" w:cs="Times New Roman"/>
          <w:sz w:val="24"/>
          <w:szCs w:val="24"/>
          <w:lang w:eastAsia="hr-HR"/>
        </w:rPr>
        <w:t>e jedinice, proračunski korisnici mogu</w:t>
      </w:r>
      <w:r w:rsidRPr="001E4E40">
        <w:rPr>
          <w:rFonts w:eastAsia="Times New Roman" w:cs="Times New Roman"/>
          <w:sz w:val="24"/>
          <w:szCs w:val="24"/>
          <w:lang w:eastAsia="hr-HR"/>
        </w:rPr>
        <w:t xml:space="preserve"> izrađivati i prijedlog financijskog plana na razini odjeljka (četvrta razina računskog plana). Međutim upravno vijeće ili drugo upravljačko tijelo obvezno je usvojiti financijski plan korisnika, a preds</w:t>
      </w:r>
      <w:r w:rsidR="002A0972" w:rsidRPr="001E4E40">
        <w:rPr>
          <w:rFonts w:eastAsia="Times New Roman" w:cs="Times New Roman"/>
          <w:sz w:val="24"/>
          <w:szCs w:val="24"/>
          <w:lang w:eastAsia="hr-HR"/>
        </w:rPr>
        <w:t>tavničko tijelo proračun za 20</w:t>
      </w:r>
      <w:r w:rsidR="00C83617" w:rsidRPr="001E4E40">
        <w:rPr>
          <w:rFonts w:eastAsia="Times New Roman" w:cs="Times New Roman"/>
          <w:sz w:val="24"/>
          <w:szCs w:val="24"/>
          <w:lang w:eastAsia="hr-HR"/>
        </w:rPr>
        <w:t>20</w:t>
      </w:r>
      <w:r w:rsidRPr="001E4E40">
        <w:rPr>
          <w:rFonts w:eastAsia="Times New Roman" w:cs="Times New Roman"/>
          <w:sz w:val="24"/>
          <w:szCs w:val="24"/>
          <w:lang w:eastAsia="hr-HR"/>
        </w:rPr>
        <w:t>. godinu na razini podskupine (treća razina računsko</w:t>
      </w:r>
      <w:r w:rsidR="002A0972" w:rsidRPr="001E4E40">
        <w:rPr>
          <w:rFonts w:eastAsia="Times New Roman" w:cs="Times New Roman"/>
          <w:sz w:val="24"/>
          <w:szCs w:val="24"/>
          <w:lang w:eastAsia="hr-HR"/>
        </w:rPr>
        <w:t>g plana), a projekcije za 202</w:t>
      </w:r>
      <w:r w:rsidR="00C83617" w:rsidRPr="001E4E40">
        <w:rPr>
          <w:rFonts w:eastAsia="Times New Roman" w:cs="Times New Roman"/>
          <w:sz w:val="24"/>
          <w:szCs w:val="24"/>
          <w:lang w:eastAsia="hr-HR"/>
        </w:rPr>
        <w:t>1</w:t>
      </w:r>
      <w:r w:rsidR="002A0972" w:rsidRPr="001E4E40">
        <w:rPr>
          <w:rFonts w:eastAsia="Times New Roman" w:cs="Times New Roman"/>
          <w:sz w:val="24"/>
          <w:szCs w:val="24"/>
          <w:lang w:eastAsia="hr-HR"/>
        </w:rPr>
        <w:t>. i 202</w:t>
      </w:r>
      <w:r w:rsidR="00C83617" w:rsidRPr="001E4E40">
        <w:rPr>
          <w:rFonts w:eastAsia="Times New Roman" w:cs="Times New Roman"/>
          <w:sz w:val="24"/>
          <w:szCs w:val="24"/>
          <w:lang w:eastAsia="hr-HR"/>
        </w:rPr>
        <w:t>2</w:t>
      </w:r>
      <w:r w:rsidRPr="001E4E40">
        <w:rPr>
          <w:rFonts w:eastAsia="Times New Roman" w:cs="Times New Roman"/>
          <w:sz w:val="24"/>
          <w:szCs w:val="24"/>
          <w:lang w:eastAsia="hr-HR"/>
        </w:rPr>
        <w:t xml:space="preserve">. godinu na razini skupine (druga razina računskog plana). </w:t>
      </w:r>
    </w:p>
    <w:p w14:paraId="51881678" w14:textId="77777777" w:rsidR="00297560" w:rsidRPr="001E4E40" w:rsidRDefault="00297560" w:rsidP="006464A0">
      <w:pPr>
        <w:spacing w:after="0" w:line="240" w:lineRule="auto"/>
        <w:jc w:val="both"/>
        <w:rPr>
          <w:rFonts w:eastAsia="Times New Roman" w:cs="Times New Roman"/>
          <w:sz w:val="24"/>
          <w:szCs w:val="24"/>
          <w:lang w:eastAsia="hr-HR"/>
        </w:rPr>
      </w:pPr>
    </w:p>
    <w:p w14:paraId="6CD2E005" w14:textId="77777777" w:rsidR="00297560" w:rsidRPr="001E4E40" w:rsidRDefault="00297560" w:rsidP="006464A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lastRenderedPageBreak/>
        <w:t>U skladu sa Zakonom o proračunu predstavničko tijelo daje suglasnost na prijedlog financijskog plana županijske uprave za ceste zajedno s donošenjem proračuna jedinice područne (regionalne) samouprave.</w:t>
      </w:r>
    </w:p>
    <w:p w14:paraId="70E90544" w14:textId="77777777" w:rsidR="005F4259" w:rsidRPr="001E4E40" w:rsidRDefault="005F4259" w:rsidP="005F4259">
      <w:pPr>
        <w:spacing w:after="0" w:line="240" w:lineRule="auto"/>
        <w:jc w:val="both"/>
        <w:rPr>
          <w:rFonts w:eastAsia="Times New Roman" w:cs="Times New Roman"/>
          <w:sz w:val="24"/>
          <w:szCs w:val="24"/>
          <w:highlight w:val="yellow"/>
          <w:lang w:eastAsia="hr-HR"/>
        </w:rPr>
      </w:pPr>
    </w:p>
    <w:p w14:paraId="367BFFCF" w14:textId="77777777" w:rsidR="005F4259" w:rsidRPr="001E4E40" w:rsidRDefault="005F4259" w:rsidP="005F4259">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Uputama za izradu proračuna jedinica lokalne i područne (regionalne) samouprave za razdoblje 2018. - 2020. obrazloženi su načini</w:t>
      </w:r>
      <w:r w:rsidRPr="001E4E40">
        <w:t xml:space="preserve"> </w:t>
      </w:r>
      <w:r w:rsidRPr="001E4E40">
        <w:rPr>
          <w:rFonts w:eastAsia="Times New Roman" w:cs="Times New Roman"/>
          <w:sz w:val="24"/>
          <w:szCs w:val="24"/>
          <w:lang w:eastAsia="hr-HR"/>
        </w:rPr>
        <w:t>i mogućnosti sukcesivnog i višegodišnjeg planiranja pokrića manjka iz prethodne(ih) godine, kao i korištenja kumuliranog viška u financijskom planu proračunskih i izvanproračunskih korisnika. Istih se potrebno pridržavati i kod izrade financijskog plana proračunskih i izvanproračunskih korisnika za razdoblje 2020. - 2022.</w:t>
      </w:r>
    </w:p>
    <w:p w14:paraId="0F019EF7" w14:textId="77777777" w:rsidR="000E4EFC" w:rsidRPr="001E4E40" w:rsidRDefault="00FB3B06" w:rsidP="00DC06D2">
      <w:pPr>
        <w:keepNext/>
        <w:keepLines/>
        <w:numPr>
          <w:ilvl w:val="0"/>
          <w:numId w:val="2"/>
        </w:numPr>
        <w:spacing w:before="480" w:after="0" w:line="240" w:lineRule="auto"/>
        <w:ind w:left="714" w:hanging="357"/>
        <w:jc w:val="both"/>
        <w:outlineLvl w:val="0"/>
        <w:rPr>
          <w:rFonts w:eastAsiaTheme="majorEastAsia" w:cstheme="majorBidi"/>
          <w:b/>
          <w:bCs/>
          <w:sz w:val="28"/>
          <w:szCs w:val="24"/>
          <w:lang w:eastAsia="hr-HR"/>
        </w:rPr>
      </w:pPr>
      <w:bookmarkStart w:id="6" w:name="_Toc459630278"/>
      <w:bookmarkStart w:id="7" w:name="_Toc459630279"/>
      <w:bookmarkStart w:id="8" w:name="_Toc459630280"/>
      <w:bookmarkStart w:id="9" w:name="_Toc459630281"/>
      <w:bookmarkStart w:id="10" w:name="_Toc18594169"/>
      <w:bookmarkEnd w:id="6"/>
      <w:bookmarkEnd w:id="7"/>
      <w:bookmarkEnd w:id="8"/>
      <w:bookmarkEnd w:id="9"/>
      <w:r w:rsidRPr="001E4E40">
        <w:rPr>
          <w:rFonts w:eastAsiaTheme="majorEastAsia" w:cstheme="majorBidi"/>
          <w:b/>
          <w:bCs/>
          <w:sz w:val="28"/>
          <w:szCs w:val="24"/>
          <w:lang w:eastAsia="hr-HR"/>
        </w:rPr>
        <w:t>METODOLOGIJA IZRADE PRORAČUNA JEDINICA LOKALNE I PODRUČNE (REGIONALNE) SAMOUPRAVE</w:t>
      </w:r>
      <w:bookmarkEnd w:id="10"/>
    </w:p>
    <w:p w14:paraId="464F9E89" w14:textId="77777777" w:rsidR="004D1F5C" w:rsidRPr="001E4E40" w:rsidRDefault="004D1F5C" w:rsidP="000E4EFC">
      <w:pPr>
        <w:spacing w:after="0" w:line="240" w:lineRule="auto"/>
        <w:jc w:val="both"/>
        <w:rPr>
          <w:rFonts w:eastAsiaTheme="majorEastAsia" w:cstheme="majorBidi"/>
          <w:b/>
          <w:bCs/>
          <w:sz w:val="24"/>
          <w:szCs w:val="24"/>
          <w:lang w:eastAsia="hr-HR"/>
        </w:rPr>
      </w:pPr>
    </w:p>
    <w:p w14:paraId="2EB19EC7" w14:textId="77777777" w:rsidR="008A0639" w:rsidRDefault="00D23D6E" w:rsidP="001E4E40">
      <w:pPr>
        <w:spacing w:after="0" w:line="240" w:lineRule="auto"/>
        <w:jc w:val="both"/>
        <w:rPr>
          <w:sz w:val="24"/>
          <w:lang w:eastAsia="hr-HR"/>
        </w:rPr>
      </w:pPr>
      <w:r w:rsidRPr="001E4E40">
        <w:rPr>
          <w:sz w:val="24"/>
          <w:lang w:eastAsia="hr-HR"/>
        </w:rPr>
        <w:t>Metodolog</w:t>
      </w:r>
      <w:r w:rsidR="00A4083F" w:rsidRPr="001E4E40">
        <w:rPr>
          <w:sz w:val="24"/>
          <w:lang w:eastAsia="hr-HR"/>
        </w:rPr>
        <w:t>ija za izradu proračuna jedinica</w:t>
      </w:r>
      <w:r w:rsidRPr="001E4E40">
        <w:rPr>
          <w:sz w:val="24"/>
          <w:lang w:eastAsia="hr-HR"/>
        </w:rPr>
        <w:t xml:space="preserve"> lokalne i područne (regionalne) samouprave propisana je Zakonom o proračunu i podzakonskim aktima kojima se regulira provedba </w:t>
      </w:r>
      <w:r w:rsidR="00196B1E" w:rsidRPr="001E4E40">
        <w:rPr>
          <w:sz w:val="24"/>
          <w:lang w:eastAsia="hr-HR"/>
        </w:rPr>
        <w:t>navedenog</w:t>
      </w:r>
      <w:r w:rsidR="00A4083F" w:rsidRPr="001E4E40">
        <w:rPr>
          <w:sz w:val="24"/>
          <w:lang w:eastAsia="hr-HR"/>
        </w:rPr>
        <w:t>a</w:t>
      </w:r>
      <w:r w:rsidR="00196B1E" w:rsidRPr="001E4E40">
        <w:rPr>
          <w:sz w:val="24"/>
          <w:lang w:eastAsia="hr-HR"/>
        </w:rPr>
        <w:t xml:space="preserve"> </w:t>
      </w:r>
      <w:r w:rsidRPr="001E4E40">
        <w:rPr>
          <w:sz w:val="24"/>
          <w:lang w:eastAsia="hr-HR"/>
        </w:rPr>
        <w:t>Zakona, ponajprije Pravilnikom o proračunskim klasifikacijama i Pravilnikom o proračunskom računovodstvu i Računskom planu.</w:t>
      </w:r>
      <w:r w:rsidR="001B27E7" w:rsidRPr="001E4E40">
        <w:rPr>
          <w:sz w:val="24"/>
          <w:lang w:eastAsia="hr-HR"/>
        </w:rPr>
        <w:t xml:space="preserve"> </w:t>
      </w:r>
    </w:p>
    <w:p w14:paraId="2F39D4EE" w14:textId="77777777" w:rsidR="001E4E40" w:rsidRPr="001E4E40" w:rsidRDefault="001E4E40" w:rsidP="001E4E40">
      <w:pPr>
        <w:spacing w:after="0" w:line="240" w:lineRule="auto"/>
        <w:jc w:val="both"/>
        <w:rPr>
          <w:sz w:val="24"/>
          <w:lang w:eastAsia="hr-HR"/>
        </w:rPr>
      </w:pPr>
    </w:p>
    <w:p w14:paraId="6F24F67B" w14:textId="266020F9" w:rsidR="00BB6742" w:rsidRPr="001E4E40" w:rsidRDefault="00BB6742" w:rsidP="001E4E4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Zbog uočenih </w:t>
      </w:r>
      <w:r w:rsidR="00157494" w:rsidRPr="001E4E40">
        <w:rPr>
          <w:rFonts w:eastAsia="Times New Roman" w:cs="Times New Roman"/>
          <w:sz w:val="24"/>
          <w:szCs w:val="24"/>
          <w:lang w:eastAsia="hr-HR"/>
        </w:rPr>
        <w:t>nepravilnosti</w:t>
      </w:r>
      <w:r w:rsidRPr="001E4E40">
        <w:rPr>
          <w:rFonts w:eastAsia="Times New Roman" w:cs="Times New Roman"/>
          <w:sz w:val="24"/>
          <w:szCs w:val="24"/>
          <w:lang w:eastAsia="hr-HR"/>
        </w:rPr>
        <w:t xml:space="preserve"> </w:t>
      </w:r>
      <w:r w:rsidR="00157494" w:rsidRPr="001E4E40">
        <w:rPr>
          <w:rFonts w:eastAsia="Times New Roman" w:cs="Times New Roman"/>
          <w:sz w:val="24"/>
          <w:szCs w:val="24"/>
          <w:lang w:eastAsia="hr-HR"/>
        </w:rPr>
        <w:t xml:space="preserve">u primjeni Pravilnika o proračunskim klasifikacijama, </w:t>
      </w:r>
      <w:r w:rsidRPr="001E4E40">
        <w:rPr>
          <w:rFonts w:eastAsia="Times New Roman" w:cs="Times New Roman"/>
          <w:sz w:val="24"/>
          <w:szCs w:val="24"/>
          <w:lang w:eastAsia="hr-HR"/>
        </w:rPr>
        <w:t>ponovno ukazujemo</w:t>
      </w:r>
      <w:r w:rsidR="00157494" w:rsidRPr="001E4E40">
        <w:rPr>
          <w:rFonts w:eastAsia="Times New Roman" w:cs="Times New Roman"/>
          <w:sz w:val="24"/>
          <w:szCs w:val="24"/>
          <w:lang w:eastAsia="hr-HR"/>
        </w:rPr>
        <w:t xml:space="preserve"> na sljedeće. U</w:t>
      </w:r>
      <w:r w:rsidRPr="001E4E40">
        <w:rPr>
          <w:rFonts w:eastAsia="Times New Roman" w:cs="Times New Roman"/>
          <w:sz w:val="24"/>
          <w:szCs w:val="24"/>
          <w:lang w:eastAsia="hr-HR"/>
        </w:rPr>
        <w:t xml:space="preserve"> proračunima pojedinih jedinica nije ispravno definirana organizacijska klasifikacija, odnosno pogrešno su iskazani razdjeli i glave. </w:t>
      </w:r>
      <w:r w:rsidR="00A83443" w:rsidRPr="001E4E40">
        <w:rPr>
          <w:rFonts w:eastAsia="Times New Roman" w:cs="Times New Roman"/>
          <w:sz w:val="24"/>
          <w:szCs w:val="24"/>
          <w:lang w:eastAsia="hr-HR"/>
        </w:rPr>
        <w:t>Č</w:t>
      </w:r>
      <w:r w:rsidRPr="001E4E40">
        <w:rPr>
          <w:rFonts w:eastAsia="Times New Roman" w:cs="Times New Roman"/>
          <w:sz w:val="24"/>
          <w:szCs w:val="24"/>
          <w:lang w:eastAsia="hr-HR"/>
        </w:rPr>
        <w:t xml:space="preserve">esto u okviru razdjela nije utvrđena niti jedna glava, što nije u skladu s Pravilnikom o proračunskim klasifikacijama </w:t>
      </w:r>
      <w:r w:rsidR="00157494" w:rsidRPr="001E4E40">
        <w:rPr>
          <w:rFonts w:eastAsia="Times New Roman" w:cs="Times New Roman"/>
          <w:sz w:val="24"/>
          <w:szCs w:val="24"/>
          <w:lang w:eastAsia="hr-HR"/>
        </w:rPr>
        <w:t xml:space="preserve">kojim je propisano </w:t>
      </w:r>
      <w:r w:rsidRPr="001E4E40">
        <w:rPr>
          <w:rFonts w:eastAsia="Times New Roman" w:cs="Times New Roman"/>
          <w:sz w:val="24"/>
          <w:szCs w:val="24"/>
          <w:lang w:eastAsia="hr-HR"/>
        </w:rPr>
        <w:t xml:space="preserve">sljedeće: „Razdjel je organizacijska razina utvrđena za potrebe planiranja i izvršavanja proračuna, a sastoji se od jedne ili više glava“ i dalje: „kod jedinica lokalne i područne (regionalne) samouprave čije glave nemaju proračunske korisnike, glava je istovjetna razdjelu, dok kod onih čije glave imaju proračunske korisnike jedna od glava može biti istovjetna razdjelu“. Nadalje, u proračunima velikog broja jedinica najčešće se brojčana oznaka glave sastoji od dvoznamenkastog broja i stoga nije vidljivo kojem razdjelu pripada, iako je </w:t>
      </w:r>
      <w:r w:rsidR="0060357B" w:rsidRPr="001E4E40">
        <w:rPr>
          <w:rFonts w:eastAsia="Times New Roman" w:cs="Times New Roman"/>
          <w:sz w:val="24"/>
          <w:szCs w:val="24"/>
          <w:lang w:eastAsia="hr-HR"/>
        </w:rPr>
        <w:t xml:space="preserve">navedenim </w:t>
      </w:r>
      <w:r w:rsidRPr="001E4E40">
        <w:rPr>
          <w:rFonts w:eastAsia="Times New Roman" w:cs="Times New Roman"/>
          <w:sz w:val="24"/>
          <w:szCs w:val="24"/>
          <w:lang w:eastAsia="hr-HR"/>
        </w:rPr>
        <w:t xml:space="preserve">Pravilnikom propisano: „brojčana oznaka sastoji se od troznamenkastog broja za razdjel te peteroznamenkastog broja za glavu; prve tri znamenke označavaju pripadnost razdjelu, a četvrta i peta znamenka označavaju glavu unutar razdjela“. </w:t>
      </w:r>
    </w:p>
    <w:p w14:paraId="7810C3BE" w14:textId="77777777" w:rsidR="00BB6742" w:rsidRPr="001E4E40" w:rsidRDefault="00BB6742" w:rsidP="001E4E40">
      <w:pPr>
        <w:spacing w:after="0" w:line="240" w:lineRule="auto"/>
        <w:jc w:val="both"/>
        <w:rPr>
          <w:rFonts w:eastAsia="Times New Roman" w:cs="Times New Roman"/>
          <w:sz w:val="24"/>
          <w:szCs w:val="24"/>
          <w:lang w:eastAsia="hr-HR"/>
        </w:rPr>
      </w:pPr>
    </w:p>
    <w:p w14:paraId="363241FE" w14:textId="187D771A" w:rsidR="00BB6742" w:rsidRPr="001E4E40" w:rsidRDefault="00BB6742" w:rsidP="001E4E4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Sukladno navedenom Pravilniku, programska klasifikacija se uspostavlja definiranjem programa, aktivnosti i projekata. Program se sastoji od jedne ili više aktivnosti (ili projekata), a aktivnost i projekt pripadaju samo jednom programu. Kod određenog broja jedinica uočeno je da je pojedina aktivnost (ili projekt) s istom brojčanom oznakom te istim nazivom utvrđena unutar različitih programa. Također ističemo kako dva različita programa ne smiju imati istu brojčanu oznaku. Isto tako, dvije aktivnosti (ili projekti) ne smiju imati istu brojčanu oznaku.</w:t>
      </w:r>
    </w:p>
    <w:p w14:paraId="411A6B64" w14:textId="77777777" w:rsidR="00BB6742" w:rsidRPr="001E4E40" w:rsidRDefault="00BB6742" w:rsidP="001E4E40">
      <w:pPr>
        <w:spacing w:after="0" w:line="240" w:lineRule="auto"/>
        <w:jc w:val="both"/>
        <w:rPr>
          <w:rFonts w:eastAsia="Times New Roman" w:cs="Times New Roman"/>
          <w:sz w:val="24"/>
          <w:szCs w:val="24"/>
          <w:lang w:eastAsia="hr-HR"/>
        </w:rPr>
      </w:pPr>
    </w:p>
    <w:p w14:paraId="2D96A50F" w14:textId="0E562C04" w:rsidR="00BB6742" w:rsidRPr="001E4E40" w:rsidRDefault="00BB6742" w:rsidP="001E4E4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Oznaka programa sastoji se od četveroznamenkaste brojke u rasponu od 1000 do 9999. Brojčana oznaka aktivnosti, tekućeg ili kapitalnog projekta je sedmeroznamenkasta oznaka koja se sastoji od slova A, T ili K i šesteroznamenkastog broja u rasponu od 100001 do 999999. U planiranju programa, aktivnosti i projekata važno je, pored ostalih, voditi računa o </w:t>
      </w:r>
      <w:r w:rsidRPr="001E4E40">
        <w:rPr>
          <w:rFonts w:eastAsia="Times New Roman" w:cs="Times New Roman"/>
          <w:sz w:val="24"/>
          <w:szCs w:val="24"/>
          <w:lang w:eastAsia="hr-HR"/>
        </w:rPr>
        <w:lastRenderedPageBreak/>
        <w:t xml:space="preserve">organizacijskoj klasifikaciji, a to znači jasno odrediti: razdjel =&gt; glava =&gt; proračunski korisnik. Dobro postavljena organizacijska klasifikacija preduvjet je za pravilno korištenje ostalih proračunskih klasifikacija. Jedan program može biti u nadležnosti više glava, ali </w:t>
      </w:r>
      <w:r w:rsidR="008878B3">
        <w:rPr>
          <w:rFonts w:eastAsia="Times New Roman" w:cs="Times New Roman"/>
          <w:sz w:val="24"/>
          <w:szCs w:val="24"/>
          <w:lang w:eastAsia="hr-HR"/>
        </w:rPr>
        <w:t>samo jednog razdjela. A</w:t>
      </w:r>
      <w:r w:rsidRPr="001E4E40">
        <w:rPr>
          <w:rFonts w:eastAsia="Times New Roman" w:cs="Times New Roman"/>
          <w:sz w:val="24"/>
          <w:szCs w:val="24"/>
          <w:lang w:eastAsia="hr-HR"/>
        </w:rPr>
        <w:t>ktivnost i projekt pripadaju samo jednom programu</w:t>
      </w:r>
      <w:r w:rsidR="008878B3">
        <w:rPr>
          <w:rFonts w:eastAsia="Times New Roman" w:cs="Times New Roman"/>
          <w:sz w:val="24"/>
          <w:szCs w:val="24"/>
          <w:lang w:eastAsia="hr-HR"/>
        </w:rPr>
        <w:t xml:space="preserve"> i jednoj glavi</w:t>
      </w:r>
      <w:r w:rsidRPr="001E4E40">
        <w:rPr>
          <w:rFonts w:eastAsia="Times New Roman" w:cs="Times New Roman"/>
          <w:sz w:val="24"/>
          <w:szCs w:val="24"/>
          <w:lang w:eastAsia="hr-HR"/>
        </w:rPr>
        <w:t>. Na kojoj će se razini planirati program, ovisi o tome hoće li ga provoditi jedna ili više glava. Razdjel je taj koji utvrđuje programe, zajedničke aktivnosti i projekte za proračunske korisnike iz svoje nadležnosti. Sve aktivnosti i projekte razdjel grupira u programe, a zatim programe, aktivnosti i projekte prijavljuje upravnom odjelu za financije jedinice lokalne i područne (regionalne)</w:t>
      </w:r>
      <w:r w:rsidRPr="001E4E40">
        <w:rPr>
          <w:rFonts w:eastAsia="Times New Roman" w:cs="Times New Roman"/>
          <w:lang w:eastAsia="hr-HR"/>
        </w:rPr>
        <w:t xml:space="preserve"> </w:t>
      </w:r>
      <w:r w:rsidRPr="001E4E40">
        <w:rPr>
          <w:rFonts w:eastAsia="Times New Roman" w:cs="Times New Roman"/>
          <w:sz w:val="24"/>
          <w:szCs w:val="24"/>
          <w:lang w:eastAsia="hr-HR"/>
        </w:rPr>
        <w:t>samouprave. O utvrđenoj programskoj klasifikaciji razdjeli obavještavaju proračunske korisnike iz svoje nadležnosti.</w:t>
      </w:r>
    </w:p>
    <w:p w14:paraId="0747001A" w14:textId="77777777" w:rsidR="00BB6742" w:rsidRPr="001E4E40" w:rsidRDefault="00BB6742" w:rsidP="001E4E40">
      <w:pPr>
        <w:spacing w:after="0" w:line="240" w:lineRule="auto"/>
        <w:jc w:val="both"/>
        <w:rPr>
          <w:rFonts w:eastAsia="Times New Roman" w:cs="Times New Roman"/>
          <w:sz w:val="24"/>
          <w:szCs w:val="24"/>
          <w:lang w:eastAsia="hr-HR"/>
        </w:rPr>
      </w:pPr>
    </w:p>
    <w:p w14:paraId="49DB9C25" w14:textId="5A7A655A" w:rsidR="00BB6742" w:rsidRPr="001E4E40" w:rsidRDefault="00BB6742" w:rsidP="001E4E4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Svaki program u sebi treba sadržavati odgovor na pitanje što se njim želi postići, na koji način će biti realiziran i tko je korisnik ili primatelj usluge. To znači da se povećava odgovornost čelnika svake pojedine organizacijske jedinice za zakonito, namjensko i svrhovito trošenje sredstava jer se u financijskom planu i proračunu svaka aktivnost, odnosno projekt povezuje s organizacijskom jedinicom u čijoj je </w:t>
      </w:r>
      <w:r w:rsidR="008878B3" w:rsidRPr="001E4E40">
        <w:rPr>
          <w:rFonts w:eastAsia="Times New Roman" w:cs="Times New Roman"/>
          <w:sz w:val="24"/>
          <w:szCs w:val="24"/>
          <w:lang w:eastAsia="hr-HR"/>
        </w:rPr>
        <w:t xml:space="preserve">nadležnosti </w:t>
      </w:r>
      <w:r w:rsidRPr="001E4E40">
        <w:rPr>
          <w:rFonts w:eastAsia="Times New Roman" w:cs="Times New Roman"/>
          <w:sz w:val="24"/>
          <w:szCs w:val="24"/>
          <w:lang w:eastAsia="hr-HR"/>
        </w:rPr>
        <w:t>ta aktivnost, odnosno projekt. Povećan stupanj odgovornosti olakšava nadzor u planiranju i izvršavanju proračunskih (javnih) sredstava.</w:t>
      </w:r>
    </w:p>
    <w:p w14:paraId="090201D9" w14:textId="77777777" w:rsidR="00BB6742" w:rsidRPr="00AE6DA3" w:rsidRDefault="00BB6742" w:rsidP="001E4E40">
      <w:pPr>
        <w:spacing w:after="0" w:line="240" w:lineRule="auto"/>
        <w:jc w:val="both"/>
        <w:rPr>
          <w:rFonts w:eastAsia="Times New Roman" w:cs="Times New Roman"/>
          <w:sz w:val="24"/>
          <w:lang w:eastAsia="hr-HR"/>
        </w:rPr>
      </w:pPr>
    </w:p>
    <w:p w14:paraId="2D0DA378" w14:textId="5BBAFAF1" w:rsidR="00BB6742" w:rsidRPr="001E4E40" w:rsidRDefault="00BB6742" w:rsidP="001E4E4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Zbog uočenih manjkavosti u definiranju samih programa, kao i neujednačenosti u primjeni, napominjemo kako je Uputama za izradu proračuna jedinice lokalne i područne (regionalne) samouprave za razdoblje 2014. - 2016. dan prijedlog programa koji je temeljen na najboljoj međunarodnoj praksi u definiranju programa za lokalne i regionalne razine te propisanim nadležnostima. Isti su dostupni i na internetskim stranicama Ministarstva financija</w:t>
      </w:r>
      <w:r w:rsidR="001E4E40">
        <w:rPr>
          <w:rFonts w:eastAsia="Times New Roman" w:cs="Times New Roman"/>
          <w:sz w:val="24"/>
          <w:szCs w:val="24"/>
          <w:lang w:eastAsia="hr-HR"/>
        </w:rPr>
        <w:t xml:space="preserve"> </w:t>
      </w:r>
      <w:hyperlink r:id="rId11" w:history="1">
        <w:r w:rsidRPr="001E4E40">
          <w:rPr>
            <w:rStyle w:val="Hyperlink"/>
            <w:rFonts w:eastAsia="Times New Roman"/>
            <w:sz w:val="24"/>
            <w:szCs w:val="24"/>
            <w:lang w:eastAsia="hr-HR"/>
          </w:rPr>
          <w:t>http://www.mfin.hr/hr/upute-za-izradu-proracuna-jlprs-arhiva</w:t>
        </w:r>
      </w:hyperlink>
      <w:r w:rsidRPr="001E4E40">
        <w:rPr>
          <w:rFonts w:eastAsia="Times New Roman" w:cs="Times New Roman"/>
          <w:sz w:val="24"/>
          <w:szCs w:val="24"/>
          <w:lang w:eastAsia="hr-HR"/>
        </w:rPr>
        <w:t xml:space="preserve"> i </w:t>
      </w:r>
      <w:hyperlink r:id="rId12" w:history="1">
        <w:r w:rsidRPr="001E4E40">
          <w:rPr>
            <w:rStyle w:val="Hyperlink"/>
            <w:rFonts w:eastAsia="Times New Roman"/>
            <w:sz w:val="24"/>
            <w:szCs w:val="24"/>
            <w:lang w:eastAsia="hr-HR"/>
          </w:rPr>
          <w:t>http://www.mfin.hr/hr/lokalna-samouprava</w:t>
        </w:r>
      </w:hyperlink>
      <w:r w:rsidRPr="001E4E40">
        <w:rPr>
          <w:rFonts w:eastAsia="Times New Roman" w:cs="Times New Roman"/>
          <w:sz w:val="24"/>
          <w:szCs w:val="24"/>
          <w:lang w:eastAsia="hr-HR"/>
        </w:rPr>
        <w:t xml:space="preserve">. Riječ je o preporuci pa primjena predloženih programa nije obvezna za jedinice lokalne i područne (regionalne) samouprave. </w:t>
      </w:r>
    </w:p>
    <w:p w14:paraId="7F4510ED" w14:textId="77777777" w:rsidR="00BB6742" w:rsidRPr="001E4E40" w:rsidRDefault="00BB6742" w:rsidP="001E4E40">
      <w:pPr>
        <w:spacing w:after="0" w:line="240" w:lineRule="auto"/>
        <w:jc w:val="both"/>
        <w:rPr>
          <w:rFonts w:eastAsia="Times New Roman" w:cs="Times New Roman"/>
          <w:sz w:val="24"/>
          <w:szCs w:val="24"/>
          <w:lang w:eastAsia="hr-HR"/>
        </w:rPr>
      </w:pPr>
    </w:p>
    <w:p w14:paraId="17A7483D" w14:textId="0B582F75" w:rsidR="00BB6742" w:rsidRPr="001E4E40" w:rsidRDefault="00BB6742" w:rsidP="001E4E4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Nadalje, ekonomska klasifikacija prikaz je prihoda i primitaka po prirodnim vrstama te rashoda i izdataka prema ekonomskoj namjeni kojoj služe. Pravilnikom o proračunskom računovodstvu i Računskom planu utvrđene su brojčane oznake i nazivi skupina/podskupina/račun</w:t>
      </w:r>
      <w:r w:rsidR="00413252" w:rsidRPr="001E4E40">
        <w:rPr>
          <w:rFonts w:eastAsia="Times New Roman" w:cs="Times New Roman"/>
          <w:sz w:val="24"/>
          <w:szCs w:val="24"/>
          <w:lang w:eastAsia="hr-HR"/>
        </w:rPr>
        <w:t>a</w:t>
      </w:r>
      <w:r w:rsidR="008878B3">
        <w:rPr>
          <w:rFonts w:eastAsia="Times New Roman" w:cs="Times New Roman"/>
          <w:sz w:val="24"/>
          <w:szCs w:val="24"/>
          <w:lang w:eastAsia="hr-HR"/>
        </w:rPr>
        <w:t>. M</w:t>
      </w:r>
      <w:r w:rsidRPr="001E4E40">
        <w:rPr>
          <w:rFonts w:eastAsia="Times New Roman" w:cs="Times New Roman"/>
          <w:sz w:val="24"/>
          <w:szCs w:val="24"/>
          <w:lang w:eastAsia="hr-HR"/>
        </w:rPr>
        <w:t>eđutim, u proračunima pojedinih jedinica nazivi nisu u skladu s Računskim planom. Nazivi računa ne mogu se prilagođavati potrebama jedinica pod izgovorom veće transparentnosti jer je navedeno u suprotnosti s odredbama Pravilnika.</w:t>
      </w:r>
    </w:p>
    <w:p w14:paraId="078B149F" w14:textId="77777777" w:rsidR="00BB6742" w:rsidRPr="001E4E40" w:rsidRDefault="00BB6742" w:rsidP="001E4E40">
      <w:pPr>
        <w:spacing w:after="0" w:line="240" w:lineRule="auto"/>
        <w:jc w:val="both"/>
        <w:rPr>
          <w:rFonts w:eastAsia="Times New Roman" w:cs="Times New Roman"/>
          <w:sz w:val="24"/>
          <w:szCs w:val="24"/>
          <w:lang w:eastAsia="hr-HR"/>
        </w:rPr>
      </w:pPr>
    </w:p>
    <w:p w14:paraId="7DA2BDAC" w14:textId="77777777" w:rsidR="00B515B0" w:rsidRPr="001E4E40" w:rsidRDefault="00157494" w:rsidP="001E4E4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Vezano za proceduru donošenja proračuna ukazujemo kako je potrebno </w:t>
      </w:r>
      <w:r w:rsidR="00B515B0" w:rsidRPr="001E4E40">
        <w:rPr>
          <w:rFonts w:eastAsia="Times New Roman" w:cs="Times New Roman"/>
          <w:sz w:val="24"/>
          <w:szCs w:val="24"/>
          <w:lang w:eastAsia="hr-HR"/>
        </w:rPr>
        <w:t>proračun za 2020. i projekcije za 2021. i 2022. prikazati u jednom dokumentu, a ne odvojeno.</w:t>
      </w:r>
    </w:p>
    <w:p w14:paraId="67536C3D" w14:textId="77777777" w:rsidR="00B515B0" w:rsidRPr="001E4E40" w:rsidRDefault="00B515B0" w:rsidP="001E4E40">
      <w:pPr>
        <w:spacing w:after="0" w:line="240" w:lineRule="auto"/>
        <w:jc w:val="both"/>
        <w:rPr>
          <w:rFonts w:eastAsia="Times New Roman" w:cs="Times New Roman"/>
          <w:sz w:val="24"/>
          <w:szCs w:val="24"/>
          <w:lang w:eastAsia="hr-HR"/>
        </w:rPr>
      </w:pPr>
    </w:p>
    <w:p w14:paraId="066C4AA3" w14:textId="77777777" w:rsidR="00157494" w:rsidRPr="001E4E40" w:rsidRDefault="00157494" w:rsidP="001E4E4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Kako bi se osiguralo ostvarenje načela transparentnosti i slobodan pristup informacijama kao i njihovo povezivanje, preuzimanje i ponovno korištenje, ukazujemo na preporuku iz Uputa prethodnih godina da se svi navedeni materijali vezani uz proračun i njegove izmjene objavljuju u formatu pogodnom za daljnju obradu (word i excel).</w:t>
      </w:r>
    </w:p>
    <w:p w14:paraId="037806F7" w14:textId="77777777" w:rsidR="00157494" w:rsidRPr="001E4E40" w:rsidRDefault="00157494" w:rsidP="001E4E40">
      <w:pPr>
        <w:spacing w:after="0" w:line="240" w:lineRule="auto"/>
        <w:jc w:val="both"/>
        <w:rPr>
          <w:rFonts w:eastAsia="Times New Roman" w:cs="Times New Roman"/>
          <w:sz w:val="24"/>
          <w:szCs w:val="24"/>
          <w:lang w:eastAsia="hr-HR"/>
        </w:rPr>
      </w:pPr>
    </w:p>
    <w:p w14:paraId="2EAFEA9A" w14:textId="77777777" w:rsidR="00B515B0" w:rsidRDefault="00157494" w:rsidP="001E4E40">
      <w:pPr>
        <w:spacing w:after="0" w:line="240" w:lineRule="auto"/>
        <w:jc w:val="both"/>
        <w:rPr>
          <w:rFonts w:eastAsia="Times New Roman" w:cs="Times New Roman"/>
          <w:sz w:val="24"/>
          <w:szCs w:val="24"/>
          <w:lang w:eastAsia="hr-HR"/>
        </w:rPr>
      </w:pPr>
      <w:r w:rsidRPr="001E4E40">
        <w:rPr>
          <w:sz w:val="24"/>
          <w:lang w:eastAsia="hr-HR"/>
        </w:rPr>
        <w:t>Uputama za izradu proračuna jedinica lokalne i područne (regionalne) samouprave za</w:t>
      </w:r>
      <w:r w:rsidRPr="001E4E40">
        <w:rPr>
          <w:rFonts w:eastAsia="Times New Roman" w:cs="Times New Roman"/>
          <w:sz w:val="24"/>
          <w:szCs w:val="24"/>
          <w:lang w:eastAsia="hr-HR"/>
        </w:rPr>
        <w:t xml:space="preserve"> razdoblje 2018. - 2020. obrazloženi su </w:t>
      </w:r>
      <w:r w:rsidRPr="001E4E40">
        <w:rPr>
          <w:rFonts w:eastAsia="Times New Roman" w:cs="Times New Roman"/>
          <w:b/>
          <w:sz w:val="24"/>
          <w:szCs w:val="24"/>
          <w:lang w:eastAsia="hr-HR"/>
        </w:rPr>
        <w:t>načini i mogućnosti sukcesivnog i višegodišnjeg planiranja pokrića manjka iz prethodne(ih) godine, kao i korištenja kumuliranog viška</w:t>
      </w:r>
      <w:r w:rsidRPr="001E4E40">
        <w:rPr>
          <w:rFonts w:eastAsia="Times New Roman" w:cs="Times New Roman"/>
          <w:sz w:val="24"/>
          <w:szCs w:val="24"/>
          <w:lang w:eastAsia="hr-HR"/>
        </w:rPr>
        <w:t xml:space="preserve"> u proračunu jedinica lokalne i područne (regionalne) samouprave. Istih se potrebno pridržavati </w:t>
      </w:r>
      <w:r w:rsidRPr="001E4E40">
        <w:rPr>
          <w:rFonts w:eastAsia="Times New Roman" w:cs="Times New Roman"/>
          <w:sz w:val="24"/>
          <w:szCs w:val="24"/>
          <w:lang w:eastAsia="hr-HR"/>
        </w:rPr>
        <w:lastRenderedPageBreak/>
        <w:t xml:space="preserve">i kod izrade proračuna jedinice lokalne i područne (regionalne) samouprave za razdoblje 2020. - 2022. </w:t>
      </w:r>
    </w:p>
    <w:p w14:paraId="0C4571C1" w14:textId="77777777" w:rsidR="001E4E40" w:rsidRPr="001E4E40" w:rsidRDefault="001E4E40" w:rsidP="001E4E40">
      <w:pPr>
        <w:spacing w:after="0" w:line="240" w:lineRule="auto"/>
        <w:jc w:val="both"/>
        <w:rPr>
          <w:rFonts w:eastAsia="Times New Roman" w:cs="Times New Roman"/>
          <w:sz w:val="24"/>
          <w:szCs w:val="24"/>
          <w:lang w:eastAsia="hr-HR"/>
        </w:rPr>
      </w:pPr>
    </w:p>
    <w:p w14:paraId="2DC7EA9E" w14:textId="0D1C717C" w:rsidR="00157494" w:rsidRPr="001E4E40" w:rsidRDefault="00B515B0" w:rsidP="001E4E40">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U nastavku ukazujemo na neke specifičnosti u procesu uključivanja značajnog prenesenog manjka iz prethodne(ih) godin</w:t>
      </w:r>
      <w:r w:rsidR="00D90518" w:rsidRPr="001E4E40">
        <w:rPr>
          <w:rFonts w:eastAsia="Times New Roman" w:cs="Times New Roman"/>
          <w:sz w:val="24"/>
          <w:szCs w:val="24"/>
          <w:lang w:eastAsia="hr-HR"/>
        </w:rPr>
        <w:t>e</w:t>
      </w:r>
      <w:r w:rsidRPr="001E4E40">
        <w:rPr>
          <w:rFonts w:eastAsia="Times New Roman" w:cs="Times New Roman"/>
          <w:sz w:val="24"/>
          <w:szCs w:val="24"/>
          <w:lang w:eastAsia="hr-HR"/>
        </w:rPr>
        <w:t xml:space="preserve"> kroz izmjene i dopune proračuna. </w:t>
      </w:r>
    </w:p>
    <w:p w14:paraId="69806C9D" w14:textId="77777777" w:rsidR="00B515B0" w:rsidRDefault="00B515B0" w:rsidP="001E4E40">
      <w:pPr>
        <w:spacing w:after="0" w:line="240" w:lineRule="auto"/>
        <w:jc w:val="both"/>
        <w:rPr>
          <w:rFonts w:eastAsia="Times New Roman" w:cs="Times New Roman"/>
          <w:sz w:val="24"/>
          <w:szCs w:val="24"/>
          <w:highlight w:val="yellow"/>
          <w:lang w:eastAsia="hr-HR"/>
        </w:rPr>
      </w:pPr>
    </w:p>
    <w:p w14:paraId="1D923DA4" w14:textId="77777777" w:rsidR="00012A69" w:rsidRPr="001E4E40" w:rsidRDefault="00012A69" w:rsidP="001E4E40">
      <w:pPr>
        <w:spacing w:after="0" w:line="240" w:lineRule="auto"/>
        <w:jc w:val="both"/>
        <w:rPr>
          <w:rFonts w:eastAsia="Times New Roman" w:cs="Times New Roman"/>
          <w:sz w:val="24"/>
          <w:szCs w:val="24"/>
          <w:highlight w:val="yellow"/>
          <w:lang w:eastAsia="hr-HR"/>
        </w:rPr>
      </w:pPr>
    </w:p>
    <w:p w14:paraId="7ED3AC3B" w14:textId="77777777" w:rsidR="00D91492" w:rsidRPr="001E4E40" w:rsidRDefault="00D91492" w:rsidP="00012A69">
      <w:pPr>
        <w:keepNext/>
        <w:keepLines/>
        <w:numPr>
          <w:ilvl w:val="1"/>
          <w:numId w:val="2"/>
        </w:numPr>
        <w:spacing w:after="0" w:line="240" w:lineRule="auto"/>
        <w:ind w:left="1077"/>
        <w:jc w:val="both"/>
        <w:outlineLvl w:val="1"/>
        <w:rPr>
          <w:rFonts w:eastAsiaTheme="majorEastAsia" w:cstheme="majorBidi"/>
          <w:b/>
          <w:bCs/>
          <w:sz w:val="24"/>
          <w:szCs w:val="24"/>
          <w:lang w:eastAsia="hr-HR"/>
        </w:rPr>
      </w:pPr>
      <w:bookmarkStart w:id="11" w:name="_Toc18594170"/>
      <w:r w:rsidRPr="001E4E40">
        <w:rPr>
          <w:rFonts w:eastAsiaTheme="majorEastAsia" w:cstheme="majorBidi"/>
          <w:b/>
          <w:bCs/>
          <w:sz w:val="24"/>
          <w:szCs w:val="24"/>
          <w:lang w:eastAsia="hr-HR"/>
        </w:rPr>
        <w:t>Uključivanje značajnog manjka kroz izmjene i dopune proračuna jedinice lokalne i područne (regionalne) samouprave</w:t>
      </w:r>
      <w:bookmarkEnd w:id="11"/>
    </w:p>
    <w:p w14:paraId="1983548A" w14:textId="77777777" w:rsidR="00450DA7" w:rsidRPr="001E4E40" w:rsidRDefault="00450DA7" w:rsidP="00450DA7">
      <w:pPr>
        <w:spacing w:after="0" w:line="240" w:lineRule="auto"/>
        <w:jc w:val="both"/>
        <w:rPr>
          <w:sz w:val="24"/>
          <w:highlight w:val="yellow"/>
          <w:lang w:eastAsia="hr-HR"/>
        </w:rPr>
      </w:pPr>
    </w:p>
    <w:p w14:paraId="5E4EE468" w14:textId="77777777" w:rsidR="00D91492" w:rsidRPr="001E4E40" w:rsidRDefault="00D91492" w:rsidP="00D91492">
      <w:pPr>
        <w:spacing w:after="0" w:line="240" w:lineRule="auto"/>
        <w:jc w:val="both"/>
        <w:rPr>
          <w:sz w:val="24"/>
          <w:lang w:eastAsia="hr-HR"/>
        </w:rPr>
      </w:pPr>
      <w:r w:rsidRPr="001E4E40">
        <w:rPr>
          <w:sz w:val="24"/>
          <w:lang w:eastAsia="hr-HR"/>
        </w:rPr>
        <w:t>Ministarstvo financija je u Uputama za izradu proračuna jedinica lokalne i područne (regionalne) samouprave za razdoblje 2018. - 2020. dalo primjere planiranja manjka iz prethodne godine koji će se pokriti u idućoj godini</w:t>
      </w:r>
      <w:r w:rsidR="003D443E" w:rsidRPr="001E4E40">
        <w:rPr>
          <w:sz w:val="24"/>
          <w:lang w:eastAsia="hr-HR"/>
        </w:rPr>
        <w:t>, odnosno u iduće tri godine.</w:t>
      </w:r>
    </w:p>
    <w:p w14:paraId="139D656A" w14:textId="77777777" w:rsidR="003D443E" w:rsidRPr="001E4E40" w:rsidRDefault="003D443E" w:rsidP="00D91492">
      <w:pPr>
        <w:spacing w:after="0" w:line="240" w:lineRule="auto"/>
        <w:jc w:val="both"/>
        <w:rPr>
          <w:sz w:val="24"/>
          <w:lang w:eastAsia="hr-HR"/>
        </w:rPr>
      </w:pPr>
    </w:p>
    <w:p w14:paraId="63003A98" w14:textId="03D58CE7" w:rsidR="001E4E40" w:rsidRDefault="001E4E40" w:rsidP="00762AAA">
      <w:pPr>
        <w:spacing w:after="0" w:line="240" w:lineRule="auto"/>
        <w:jc w:val="both"/>
        <w:rPr>
          <w:sz w:val="24"/>
          <w:lang w:eastAsia="hr-HR"/>
        </w:rPr>
      </w:pPr>
      <w:r>
        <w:rPr>
          <w:sz w:val="24"/>
          <w:lang w:eastAsia="hr-HR"/>
        </w:rPr>
        <w:t xml:space="preserve">Budući da u vrijeme izrade proračuna za </w:t>
      </w:r>
      <w:r w:rsidR="00132909">
        <w:rPr>
          <w:sz w:val="24"/>
          <w:lang w:eastAsia="hr-HR"/>
        </w:rPr>
        <w:t xml:space="preserve">sljedeću </w:t>
      </w:r>
      <w:r>
        <w:rPr>
          <w:sz w:val="24"/>
          <w:lang w:eastAsia="hr-HR"/>
        </w:rPr>
        <w:t xml:space="preserve">godinu </w:t>
      </w:r>
      <w:r w:rsidR="00132909">
        <w:rPr>
          <w:sz w:val="24"/>
          <w:lang w:eastAsia="hr-HR"/>
        </w:rPr>
        <w:t>j</w:t>
      </w:r>
      <w:r>
        <w:rPr>
          <w:sz w:val="24"/>
          <w:lang w:eastAsia="hr-HR"/>
        </w:rPr>
        <w:t xml:space="preserve">edinica ne može u njega uključiti stvarno realiziran rezultat </w:t>
      </w:r>
      <w:r w:rsidR="00132909">
        <w:rPr>
          <w:sz w:val="24"/>
          <w:lang w:eastAsia="hr-HR"/>
        </w:rPr>
        <w:t xml:space="preserve">tekuće </w:t>
      </w:r>
      <w:r>
        <w:rPr>
          <w:sz w:val="24"/>
          <w:lang w:eastAsia="hr-HR"/>
        </w:rPr>
        <w:t>godine, nego uključuje procijenjeni rezultat koji oč</w:t>
      </w:r>
      <w:r w:rsidR="00132909">
        <w:rPr>
          <w:sz w:val="24"/>
          <w:lang w:eastAsia="hr-HR"/>
        </w:rPr>
        <w:t>ekuje ostvariti na kraju tekuće godine</w:t>
      </w:r>
      <w:r>
        <w:rPr>
          <w:sz w:val="24"/>
          <w:lang w:eastAsia="hr-HR"/>
        </w:rPr>
        <w:t xml:space="preserve">, moguće je da </w:t>
      </w:r>
      <w:r w:rsidRPr="001E4E40">
        <w:rPr>
          <w:sz w:val="24"/>
          <w:lang w:eastAsia="hr-HR"/>
        </w:rPr>
        <w:t>taj (procijenjeni) rezultat uključen u proračun</w:t>
      </w:r>
      <w:r>
        <w:rPr>
          <w:sz w:val="24"/>
          <w:lang w:eastAsia="hr-HR"/>
        </w:rPr>
        <w:t xml:space="preserve"> za</w:t>
      </w:r>
      <w:r w:rsidR="00132909">
        <w:rPr>
          <w:sz w:val="24"/>
          <w:lang w:eastAsia="hr-HR"/>
        </w:rPr>
        <w:t xml:space="preserve"> sljedeću </w:t>
      </w:r>
      <w:r>
        <w:rPr>
          <w:sz w:val="24"/>
          <w:lang w:eastAsia="hr-HR"/>
        </w:rPr>
        <w:t xml:space="preserve">godinu </w:t>
      </w:r>
      <w:r w:rsidRPr="001E4E40">
        <w:rPr>
          <w:sz w:val="24"/>
          <w:lang w:eastAsia="hr-HR"/>
        </w:rPr>
        <w:t>u konačnici odstupa od ostvarenog.</w:t>
      </w:r>
    </w:p>
    <w:p w14:paraId="2BE89468" w14:textId="77777777" w:rsidR="00F139A7" w:rsidRPr="001E4E40" w:rsidRDefault="00F139A7" w:rsidP="00762AAA">
      <w:pPr>
        <w:spacing w:after="0" w:line="240" w:lineRule="auto"/>
        <w:jc w:val="both"/>
        <w:rPr>
          <w:sz w:val="24"/>
          <w:lang w:eastAsia="hr-HR"/>
        </w:rPr>
      </w:pPr>
    </w:p>
    <w:p w14:paraId="2F73826A" w14:textId="64306A8B" w:rsidR="00B47B8D" w:rsidRDefault="001E4E40" w:rsidP="00762AAA">
      <w:pPr>
        <w:spacing w:after="0" w:line="240" w:lineRule="auto"/>
        <w:jc w:val="both"/>
        <w:rPr>
          <w:sz w:val="24"/>
          <w:lang w:eastAsia="hr-HR"/>
        </w:rPr>
      </w:pPr>
      <w:r>
        <w:rPr>
          <w:sz w:val="24"/>
          <w:lang w:eastAsia="hr-HR"/>
        </w:rPr>
        <w:t xml:space="preserve">Upravo zato, </w:t>
      </w:r>
      <w:r w:rsidR="00303B5E">
        <w:rPr>
          <w:sz w:val="24"/>
          <w:lang w:eastAsia="hr-HR"/>
        </w:rPr>
        <w:t xml:space="preserve">ako </w:t>
      </w:r>
      <w:r w:rsidR="00F76E38">
        <w:rPr>
          <w:sz w:val="24"/>
          <w:lang w:eastAsia="hr-HR"/>
        </w:rPr>
        <w:t xml:space="preserve">se, </w:t>
      </w:r>
      <w:r w:rsidR="00303B5E">
        <w:rPr>
          <w:sz w:val="24"/>
          <w:lang w:eastAsia="hr-HR"/>
        </w:rPr>
        <w:t>nakon utvrđivanja stvarno realiziranog rezultata za prethodnu</w:t>
      </w:r>
      <w:r w:rsidR="00F76E38">
        <w:rPr>
          <w:sz w:val="24"/>
          <w:lang w:eastAsia="hr-HR"/>
        </w:rPr>
        <w:t xml:space="preserve"> godinu, </w:t>
      </w:r>
      <w:r w:rsidR="00303B5E">
        <w:rPr>
          <w:sz w:val="24"/>
          <w:lang w:eastAsia="hr-HR"/>
        </w:rPr>
        <w:t xml:space="preserve">jedinica odluči za izmjene i dopune </w:t>
      </w:r>
      <w:r w:rsidR="00F76E38">
        <w:rPr>
          <w:sz w:val="24"/>
          <w:lang w:eastAsia="hr-HR"/>
        </w:rPr>
        <w:t xml:space="preserve">proračuna tekuće godine, u iste je obvezna uključiti podatke o stvarno realiziranom rezultatu </w:t>
      </w:r>
      <w:r w:rsidR="00F76E38" w:rsidRPr="001E4E40">
        <w:rPr>
          <w:sz w:val="24"/>
          <w:lang w:eastAsia="hr-HR"/>
        </w:rPr>
        <w:t xml:space="preserve">na dan 31. prosinca </w:t>
      </w:r>
      <w:r w:rsidR="00F76E38">
        <w:rPr>
          <w:sz w:val="24"/>
          <w:lang w:eastAsia="hr-HR"/>
        </w:rPr>
        <w:t>prethodne godine.</w:t>
      </w:r>
    </w:p>
    <w:p w14:paraId="3BC7CC6A" w14:textId="77777777" w:rsidR="00B47B8D" w:rsidRDefault="00B47B8D" w:rsidP="00762AAA">
      <w:pPr>
        <w:spacing w:after="0" w:line="240" w:lineRule="auto"/>
        <w:jc w:val="both"/>
        <w:rPr>
          <w:sz w:val="24"/>
          <w:lang w:eastAsia="hr-HR"/>
        </w:rPr>
      </w:pPr>
    </w:p>
    <w:p w14:paraId="64D63202" w14:textId="7AC751CA" w:rsidR="0048298F" w:rsidRPr="001E4E40" w:rsidRDefault="0048298F" w:rsidP="00762AAA">
      <w:pPr>
        <w:spacing w:after="0" w:line="240" w:lineRule="auto"/>
        <w:jc w:val="both"/>
        <w:rPr>
          <w:sz w:val="24"/>
          <w:lang w:eastAsia="hr-HR"/>
        </w:rPr>
      </w:pPr>
      <w:r w:rsidRPr="001E4E40">
        <w:rPr>
          <w:sz w:val="24"/>
          <w:lang w:eastAsia="hr-HR"/>
        </w:rPr>
        <w:t>Sukladno Zakonu o proračunu</w:t>
      </w:r>
      <w:r w:rsidR="00FA339C">
        <w:rPr>
          <w:sz w:val="24"/>
          <w:lang w:eastAsia="hr-HR"/>
        </w:rPr>
        <w:t>,</w:t>
      </w:r>
      <w:r w:rsidRPr="001E4E40">
        <w:rPr>
          <w:sz w:val="24"/>
          <w:lang w:eastAsia="hr-HR"/>
        </w:rPr>
        <w:t xml:space="preserve"> izmjenama i dopunama proračuna nije predviđena izmjena usvojenih projekcija za sljedeće dvije proračunske godine</w:t>
      </w:r>
      <w:r w:rsidR="00FA339C">
        <w:rPr>
          <w:sz w:val="24"/>
          <w:lang w:eastAsia="hr-HR"/>
        </w:rPr>
        <w:t>,</w:t>
      </w:r>
      <w:r w:rsidRPr="001E4E40">
        <w:rPr>
          <w:sz w:val="24"/>
          <w:lang w:eastAsia="hr-HR"/>
        </w:rPr>
        <w:t xml:space="preserve"> već samo izmjena tekuće godine.</w:t>
      </w:r>
    </w:p>
    <w:p w14:paraId="08495870" w14:textId="77777777" w:rsidR="0048298F" w:rsidRPr="001E4E40" w:rsidRDefault="0048298F" w:rsidP="00762AAA">
      <w:pPr>
        <w:spacing w:after="0" w:line="240" w:lineRule="auto"/>
        <w:jc w:val="both"/>
        <w:rPr>
          <w:sz w:val="24"/>
          <w:lang w:eastAsia="hr-HR"/>
        </w:rPr>
      </w:pPr>
    </w:p>
    <w:p w14:paraId="00D26EC6" w14:textId="26688792" w:rsidR="0048298F" w:rsidRPr="001E4E40" w:rsidRDefault="0048298F" w:rsidP="00762AAA">
      <w:pPr>
        <w:spacing w:after="0" w:line="240" w:lineRule="auto"/>
        <w:jc w:val="both"/>
        <w:rPr>
          <w:sz w:val="24"/>
          <w:lang w:eastAsia="hr-HR"/>
        </w:rPr>
      </w:pPr>
      <w:r w:rsidRPr="00A73964">
        <w:rPr>
          <w:sz w:val="24"/>
          <w:lang w:eastAsia="hr-HR"/>
        </w:rPr>
        <w:t xml:space="preserve">Ako je donesena odluka o sukcesivnom </w:t>
      </w:r>
      <w:r w:rsidR="00CF3130" w:rsidRPr="00A73964">
        <w:rPr>
          <w:sz w:val="24"/>
          <w:lang w:eastAsia="hr-HR"/>
        </w:rPr>
        <w:t xml:space="preserve">planiranju pokrića manjka kroz </w:t>
      </w:r>
      <w:r w:rsidR="00093CD6">
        <w:rPr>
          <w:sz w:val="24"/>
          <w:lang w:eastAsia="hr-HR"/>
        </w:rPr>
        <w:t>tri</w:t>
      </w:r>
      <w:r w:rsidR="00CF3130" w:rsidRPr="00A73964">
        <w:rPr>
          <w:sz w:val="24"/>
          <w:lang w:eastAsia="hr-HR"/>
        </w:rPr>
        <w:t xml:space="preserve"> godine, dakle odluka kojom se dio manjka planira pokriti</w:t>
      </w:r>
      <w:r w:rsidRPr="00A73964">
        <w:rPr>
          <w:sz w:val="24"/>
          <w:lang w:eastAsia="hr-HR"/>
        </w:rPr>
        <w:t xml:space="preserve"> </w:t>
      </w:r>
      <w:r w:rsidR="00A73964" w:rsidRPr="00A73964">
        <w:rPr>
          <w:sz w:val="24"/>
          <w:lang w:eastAsia="hr-HR"/>
        </w:rPr>
        <w:t>u proračunu za godinu t, a ostatak kroz</w:t>
      </w:r>
      <w:r w:rsidRPr="00A73964">
        <w:rPr>
          <w:sz w:val="24"/>
          <w:lang w:eastAsia="hr-HR"/>
        </w:rPr>
        <w:t xml:space="preserve"> projekcije</w:t>
      </w:r>
      <w:r w:rsidR="00A73964" w:rsidRPr="00A73964">
        <w:rPr>
          <w:sz w:val="24"/>
          <w:lang w:eastAsia="hr-HR"/>
        </w:rPr>
        <w:t xml:space="preserve"> za naredne </w:t>
      </w:r>
      <w:r w:rsidR="00093CD6">
        <w:rPr>
          <w:sz w:val="24"/>
          <w:lang w:eastAsia="hr-HR"/>
        </w:rPr>
        <w:t>dvije</w:t>
      </w:r>
      <w:r w:rsidR="00A73964" w:rsidRPr="00A73964">
        <w:rPr>
          <w:sz w:val="24"/>
          <w:lang w:eastAsia="hr-HR"/>
        </w:rPr>
        <w:t xml:space="preserve"> godine (t+1 i t+2)</w:t>
      </w:r>
      <w:r w:rsidR="00CF3130" w:rsidRPr="00A73964">
        <w:rPr>
          <w:sz w:val="24"/>
          <w:lang w:eastAsia="hr-HR"/>
        </w:rPr>
        <w:t xml:space="preserve">, </w:t>
      </w:r>
      <w:r w:rsidRPr="00A73964">
        <w:rPr>
          <w:sz w:val="24"/>
          <w:lang w:eastAsia="hr-HR"/>
        </w:rPr>
        <w:t xml:space="preserve">razliku </w:t>
      </w:r>
      <w:r w:rsidR="00A73964" w:rsidRPr="00A73964">
        <w:rPr>
          <w:sz w:val="24"/>
          <w:lang w:eastAsia="hr-HR"/>
        </w:rPr>
        <w:t xml:space="preserve">između procijenjenog i stvarno realiziranog manjka </w:t>
      </w:r>
      <w:r w:rsidR="00A73964">
        <w:rPr>
          <w:sz w:val="24"/>
          <w:lang w:eastAsia="hr-HR"/>
        </w:rPr>
        <w:t xml:space="preserve">potrebno je </w:t>
      </w:r>
      <w:r w:rsidR="00A73964" w:rsidRPr="00A73964">
        <w:rPr>
          <w:sz w:val="24"/>
          <w:lang w:eastAsia="hr-HR"/>
        </w:rPr>
        <w:t xml:space="preserve">u </w:t>
      </w:r>
      <w:r w:rsidR="00A73964">
        <w:rPr>
          <w:sz w:val="24"/>
          <w:lang w:eastAsia="hr-HR"/>
        </w:rPr>
        <w:t xml:space="preserve">cijelosti </w:t>
      </w:r>
      <w:r w:rsidRPr="00A73964">
        <w:rPr>
          <w:sz w:val="24"/>
          <w:lang w:eastAsia="hr-HR"/>
        </w:rPr>
        <w:t xml:space="preserve">uključiti </w:t>
      </w:r>
      <w:r w:rsidR="00A73964">
        <w:rPr>
          <w:sz w:val="24"/>
          <w:lang w:eastAsia="hr-HR"/>
        </w:rPr>
        <w:t xml:space="preserve">u </w:t>
      </w:r>
      <w:r w:rsidRPr="00A73964">
        <w:rPr>
          <w:sz w:val="24"/>
          <w:lang w:eastAsia="hr-HR"/>
        </w:rPr>
        <w:t>tekuću godinu.</w:t>
      </w:r>
      <w:r w:rsidR="00A73964">
        <w:rPr>
          <w:sz w:val="24"/>
          <w:lang w:eastAsia="hr-HR"/>
        </w:rPr>
        <w:t xml:space="preserve"> Na taj način nije potrebno mijenjati projekcije.</w:t>
      </w:r>
    </w:p>
    <w:p w14:paraId="3148F575" w14:textId="77777777" w:rsidR="00CF3130" w:rsidRDefault="00CF3130" w:rsidP="00D91492">
      <w:pPr>
        <w:spacing w:after="0" w:line="240" w:lineRule="auto"/>
        <w:jc w:val="both"/>
        <w:rPr>
          <w:sz w:val="24"/>
          <w:lang w:eastAsia="hr-HR"/>
        </w:rPr>
      </w:pPr>
    </w:p>
    <w:p w14:paraId="7DC9A932" w14:textId="02169B7C" w:rsidR="00A73964" w:rsidRPr="001433C7" w:rsidRDefault="0048298F" w:rsidP="00D91492">
      <w:pPr>
        <w:spacing w:after="0" w:line="240" w:lineRule="auto"/>
        <w:jc w:val="both"/>
        <w:rPr>
          <w:sz w:val="24"/>
          <w:lang w:eastAsia="hr-HR"/>
        </w:rPr>
      </w:pPr>
      <w:r w:rsidRPr="001E4E40">
        <w:rPr>
          <w:sz w:val="24"/>
          <w:lang w:eastAsia="hr-HR"/>
        </w:rPr>
        <w:t xml:space="preserve">Međutim, ako to nije moguće jer se stvarno </w:t>
      </w:r>
      <w:r w:rsidR="00A73964" w:rsidRPr="001E4E40">
        <w:rPr>
          <w:sz w:val="24"/>
          <w:lang w:eastAsia="hr-HR"/>
        </w:rPr>
        <w:t>ostvareni</w:t>
      </w:r>
      <w:r w:rsidRPr="001E4E40">
        <w:rPr>
          <w:sz w:val="24"/>
          <w:lang w:eastAsia="hr-HR"/>
        </w:rPr>
        <w:t xml:space="preserve"> rezultat znatno razlikuje od </w:t>
      </w:r>
      <w:r w:rsidR="00A73964" w:rsidRPr="001E4E40">
        <w:rPr>
          <w:sz w:val="24"/>
          <w:lang w:eastAsia="hr-HR"/>
        </w:rPr>
        <w:t>procijenjenog</w:t>
      </w:r>
      <w:r w:rsidRPr="001E4E40">
        <w:rPr>
          <w:sz w:val="24"/>
          <w:lang w:eastAsia="hr-HR"/>
        </w:rPr>
        <w:t xml:space="preserve"> koji je uključen u proračun, </w:t>
      </w:r>
      <w:r w:rsidR="00FA339C">
        <w:rPr>
          <w:sz w:val="24"/>
          <w:lang w:eastAsia="hr-HR"/>
        </w:rPr>
        <w:t xml:space="preserve">a zbog objektivnih okolnosti nije se mogao adekvatno procijeniti, </w:t>
      </w:r>
      <w:r w:rsidRPr="00A73964">
        <w:rPr>
          <w:b/>
          <w:sz w:val="24"/>
          <w:lang w:eastAsia="hr-HR"/>
        </w:rPr>
        <w:t>iznimno</w:t>
      </w:r>
      <w:r w:rsidRPr="001E4E40">
        <w:rPr>
          <w:sz w:val="24"/>
          <w:lang w:eastAsia="hr-HR"/>
        </w:rPr>
        <w:t xml:space="preserve"> </w:t>
      </w:r>
      <w:r w:rsidR="00A73964">
        <w:rPr>
          <w:sz w:val="24"/>
          <w:lang w:eastAsia="hr-HR"/>
        </w:rPr>
        <w:t xml:space="preserve">je moguće </w:t>
      </w:r>
      <w:r w:rsidR="00A73964" w:rsidRPr="00A73964">
        <w:rPr>
          <w:sz w:val="24"/>
          <w:lang w:eastAsia="hr-HR"/>
        </w:rPr>
        <w:t>razliku između procijenjenog i stvarno realiziranog manjka</w:t>
      </w:r>
      <w:r w:rsidR="00A73964">
        <w:rPr>
          <w:sz w:val="24"/>
          <w:lang w:eastAsia="hr-HR"/>
        </w:rPr>
        <w:t xml:space="preserve"> rasporediti za pokriće kroz </w:t>
      </w:r>
      <w:r w:rsidR="00093CD6">
        <w:rPr>
          <w:sz w:val="24"/>
          <w:lang w:eastAsia="hr-HR"/>
        </w:rPr>
        <w:t>dvije</w:t>
      </w:r>
      <w:r w:rsidR="00A73964">
        <w:rPr>
          <w:sz w:val="24"/>
          <w:lang w:eastAsia="hr-HR"/>
        </w:rPr>
        <w:t xml:space="preserve"> ili </w:t>
      </w:r>
      <w:r w:rsidR="00093CD6">
        <w:rPr>
          <w:sz w:val="24"/>
          <w:lang w:eastAsia="hr-HR"/>
        </w:rPr>
        <w:t>tri</w:t>
      </w:r>
      <w:r w:rsidR="00A73964">
        <w:rPr>
          <w:sz w:val="24"/>
          <w:lang w:eastAsia="hr-HR"/>
        </w:rPr>
        <w:t xml:space="preserve"> godine. U tom slučaju će </w:t>
      </w:r>
      <w:r w:rsidR="00B13B0F" w:rsidRPr="001E4E40">
        <w:rPr>
          <w:sz w:val="24"/>
          <w:lang w:eastAsia="hr-HR"/>
        </w:rPr>
        <w:t xml:space="preserve">u tekućoj godini </w:t>
      </w:r>
      <w:r w:rsidR="008813EF" w:rsidRPr="001E4E40">
        <w:rPr>
          <w:sz w:val="24"/>
          <w:lang w:eastAsia="hr-HR"/>
        </w:rPr>
        <w:t>izmjenama i dopunama proračuna</w:t>
      </w:r>
      <w:r w:rsidR="00B13B0F" w:rsidRPr="001E4E40">
        <w:rPr>
          <w:sz w:val="24"/>
          <w:lang w:eastAsia="hr-HR"/>
        </w:rPr>
        <w:t xml:space="preserve"> bit</w:t>
      </w:r>
      <w:r w:rsidR="00A73964">
        <w:rPr>
          <w:sz w:val="24"/>
          <w:lang w:eastAsia="hr-HR"/>
        </w:rPr>
        <w:t>i</w:t>
      </w:r>
      <w:r w:rsidR="00B13B0F" w:rsidRPr="001E4E40">
        <w:rPr>
          <w:sz w:val="24"/>
          <w:lang w:eastAsia="hr-HR"/>
        </w:rPr>
        <w:t xml:space="preserve"> planirano pokriće dijela manjka (onog dijela koji će biti pokriven u tekućoj godini), a u</w:t>
      </w:r>
      <w:r w:rsidR="00D91492" w:rsidRPr="001E4E40">
        <w:rPr>
          <w:sz w:val="24"/>
          <w:lang w:eastAsia="hr-HR"/>
        </w:rPr>
        <w:t xml:space="preserve"> izmjenama i dopunama </w:t>
      </w:r>
      <w:r w:rsidR="00FA339C">
        <w:rPr>
          <w:sz w:val="24"/>
          <w:lang w:eastAsia="hr-HR"/>
        </w:rPr>
        <w:t>o</w:t>
      </w:r>
      <w:r w:rsidR="00D91492" w:rsidRPr="001E4E40">
        <w:rPr>
          <w:sz w:val="24"/>
          <w:lang w:eastAsia="hr-HR"/>
        </w:rPr>
        <w:t xml:space="preserve">dluke o izvršavanju proračuna za </w:t>
      </w:r>
      <w:r w:rsidR="00B13B0F" w:rsidRPr="001E4E40">
        <w:rPr>
          <w:sz w:val="24"/>
          <w:lang w:eastAsia="hr-HR"/>
        </w:rPr>
        <w:t>tekuću godinu</w:t>
      </w:r>
      <w:r w:rsidR="00D91492" w:rsidRPr="001E4E40">
        <w:rPr>
          <w:sz w:val="24"/>
          <w:lang w:eastAsia="hr-HR"/>
        </w:rPr>
        <w:t xml:space="preserve"> potrebno je iskazati</w:t>
      </w:r>
      <w:r w:rsidR="00B13B0F" w:rsidRPr="001E4E40">
        <w:rPr>
          <w:sz w:val="24"/>
          <w:lang w:eastAsia="hr-HR"/>
        </w:rPr>
        <w:t xml:space="preserve"> preostali dio manjka koji će biti pokriven </w:t>
      </w:r>
      <w:r w:rsidR="00D91492" w:rsidRPr="001E4E40">
        <w:rPr>
          <w:sz w:val="24"/>
          <w:lang w:eastAsia="hr-HR"/>
        </w:rPr>
        <w:t xml:space="preserve">u godinama koje se odnose na projekcije. U </w:t>
      </w:r>
      <w:r w:rsidR="00FA339C">
        <w:rPr>
          <w:sz w:val="24"/>
          <w:lang w:eastAsia="hr-HR"/>
        </w:rPr>
        <w:t>o</w:t>
      </w:r>
      <w:r w:rsidR="00D91492" w:rsidRPr="001E4E40">
        <w:rPr>
          <w:sz w:val="24"/>
          <w:lang w:eastAsia="hr-HR"/>
        </w:rPr>
        <w:t xml:space="preserve">dluci je potrebno navesti točan iznos manjka koji će se pokriti u </w:t>
      </w:r>
      <w:r w:rsidR="00B13B0F" w:rsidRPr="001E4E40">
        <w:rPr>
          <w:sz w:val="24"/>
          <w:lang w:eastAsia="hr-HR"/>
        </w:rPr>
        <w:t>narednim godinama</w:t>
      </w:r>
      <w:r w:rsidR="00D91492" w:rsidRPr="001E4E40">
        <w:rPr>
          <w:sz w:val="24"/>
          <w:lang w:eastAsia="hr-HR"/>
        </w:rPr>
        <w:t xml:space="preserve"> te naznačiti da će </w:t>
      </w:r>
      <w:r w:rsidR="00B13B0F" w:rsidRPr="001E4E40">
        <w:rPr>
          <w:sz w:val="24"/>
          <w:lang w:eastAsia="hr-HR"/>
        </w:rPr>
        <w:t xml:space="preserve">se </w:t>
      </w:r>
      <w:r w:rsidR="00D91492" w:rsidRPr="001E4E40">
        <w:rPr>
          <w:sz w:val="24"/>
          <w:lang w:eastAsia="hr-HR"/>
        </w:rPr>
        <w:t xml:space="preserve">u svakoj pojedinoj godini ostvariti višak (tekuće godine) iz kojeg će </w:t>
      </w:r>
      <w:r w:rsidR="009A226C" w:rsidRPr="001E4E40">
        <w:rPr>
          <w:sz w:val="24"/>
          <w:lang w:eastAsia="hr-HR"/>
        </w:rPr>
        <w:t>biti pokriven</w:t>
      </w:r>
      <w:r w:rsidR="00D91492" w:rsidRPr="001E4E40">
        <w:rPr>
          <w:sz w:val="24"/>
          <w:lang w:eastAsia="hr-HR"/>
        </w:rPr>
        <w:t xml:space="preserve"> manjak koji se donosi iz </w:t>
      </w:r>
      <w:r w:rsidR="00B13B0F" w:rsidRPr="001E4E40">
        <w:rPr>
          <w:sz w:val="24"/>
          <w:lang w:eastAsia="hr-HR"/>
        </w:rPr>
        <w:t xml:space="preserve">prethodne </w:t>
      </w:r>
      <w:r w:rsidR="00B13B0F" w:rsidRPr="001433C7">
        <w:rPr>
          <w:sz w:val="24"/>
          <w:lang w:eastAsia="hr-HR"/>
        </w:rPr>
        <w:t>godine</w:t>
      </w:r>
      <w:r w:rsidR="00D91492" w:rsidRPr="001433C7">
        <w:rPr>
          <w:sz w:val="24"/>
          <w:lang w:eastAsia="hr-HR"/>
        </w:rPr>
        <w:t>.</w:t>
      </w:r>
      <w:r w:rsidRPr="001433C7">
        <w:rPr>
          <w:sz w:val="24"/>
          <w:lang w:eastAsia="hr-HR"/>
        </w:rPr>
        <w:t xml:space="preserve"> </w:t>
      </w:r>
      <w:r w:rsidR="001433C7" w:rsidRPr="001433C7">
        <w:rPr>
          <w:sz w:val="24"/>
          <w:lang w:eastAsia="hr-HR"/>
        </w:rPr>
        <w:t xml:space="preserve">Ističemo da je donošenje ovakve </w:t>
      </w:r>
      <w:r w:rsidR="00FA339C">
        <w:rPr>
          <w:sz w:val="24"/>
          <w:lang w:eastAsia="hr-HR"/>
        </w:rPr>
        <w:t>o</w:t>
      </w:r>
      <w:r w:rsidR="001433C7" w:rsidRPr="001433C7">
        <w:rPr>
          <w:sz w:val="24"/>
          <w:lang w:eastAsia="hr-HR"/>
        </w:rPr>
        <w:t xml:space="preserve">dluke predviđeno za iznimne situacije te je u obrazloženju </w:t>
      </w:r>
      <w:r w:rsidR="00FA339C">
        <w:rPr>
          <w:sz w:val="24"/>
          <w:lang w:eastAsia="hr-HR"/>
        </w:rPr>
        <w:t>o</w:t>
      </w:r>
      <w:r w:rsidR="001433C7" w:rsidRPr="001433C7">
        <w:rPr>
          <w:sz w:val="24"/>
          <w:lang w:eastAsia="hr-HR"/>
        </w:rPr>
        <w:t>dluke potrebno navesti kako je došlo do tako velikog odstupanja između procjena koje su rađene u listopadu</w:t>
      </w:r>
      <w:r w:rsidR="00FA339C">
        <w:rPr>
          <w:sz w:val="24"/>
          <w:lang w:eastAsia="hr-HR"/>
        </w:rPr>
        <w:t>/</w:t>
      </w:r>
      <w:r w:rsidR="001433C7" w:rsidRPr="001433C7">
        <w:rPr>
          <w:sz w:val="24"/>
          <w:lang w:eastAsia="hr-HR"/>
        </w:rPr>
        <w:t>studenom</w:t>
      </w:r>
      <w:r w:rsidR="00080C48">
        <w:rPr>
          <w:sz w:val="24"/>
          <w:lang w:eastAsia="hr-HR"/>
        </w:rPr>
        <w:t>e</w:t>
      </w:r>
      <w:r w:rsidR="001433C7" w:rsidRPr="001433C7">
        <w:rPr>
          <w:sz w:val="24"/>
          <w:lang w:eastAsia="hr-HR"/>
        </w:rPr>
        <w:t xml:space="preserve"> i rezultata koji je </w:t>
      </w:r>
      <w:r w:rsidR="00FA339C">
        <w:rPr>
          <w:sz w:val="24"/>
          <w:lang w:eastAsia="hr-HR"/>
        </w:rPr>
        <w:t>poznat</w:t>
      </w:r>
      <w:r w:rsidR="001433C7" w:rsidRPr="001433C7">
        <w:rPr>
          <w:sz w:val="24"/>
          <w:lang w:eastAsia="hr-HR"/>
        </w:rPr>
        <w:t xml:space="preserve"> u veljači iduće godine.</w:t>
      </w:r>
    </w:p>
    <w:p w14:paraId="34E326EF" w14:textId="77777777" w:rsidR="00A73964" w:rsidRDefault="00A73964" w:rsidP="00D91492">
      <w:pPr>
        <w:spacing w:after="0" w:line="240" w:lineRule="auto"/>
        <w:jc w:val="both"/>
        <w:rPr>
          <w:sz w:val="24"/>
          <w:highlight w:val="yellow"/>
          <w:lang w:eastAsia="hr-HR"/>
        </w:rPr>
      </w:pPr>
    </w:p>
    <w:p w14:paraId="3881720F" w14:textId="54FC4ED6" w:rsidR="00A73964" w:rsidRPr="001433C7" w:rsidRDefault="001433C7" w:rsidP="00111E41">
      <w:pPr>
        <w:spacing w:after="0" w:line="240" w:lineRule="auto"/>
        <w:jc w:val="both"/>
        <w:rPr>
          <w:sz w:val="24"/>
          <w:lang w:eastAsia="hr-HR"/>
        </w:rPr>
      </w:pPr>
      <w:r>
        <w:rPr>
          <w:sz w:val="24"/>
          <w:lang w:eastAsia="hr-HR"/>
        </w:rPr>
        <w:lastRenderedPageBreak/>
        <w:t>Također i</w:t>
      </w:r>
      <w:r w:rsidR="00A73964" w:rsidRPr="001433C7">
        <w:rPr>
          <w:sz w:val="24"/>
          <w:lang w:eastAsia="hr-HR"/>
        </w:rPr>
        <w:t>stičemo da, ako je riječ o manjku koji je odraz u najvećem dijelu kumuliranog manjka iz prethodnih godina, onda takvu odluku nije moguće donijeti, jer je razvidno da se u vrijeme izrade proračuna imalo saznanja o kumuliranom rezultatu iz ranijih godina, koji će utjecati na krajnji rezultat.</w:t>
      </w:r>
    </w:p>
    <w:p w14:paraId="59017BD4" w14:textId="77777777" w:rsidR="00A73964" w:rsidRDefault="00A73964" w:rsidP="00D91492">
      <w:pPr>
        <w:spacing w:after="0" w:line="240" w:lineRule="auto"/>
        <w:jc w:val="both"/>
        <w:rPr>
          <w:sz w:val="24"/>
          <w:highlight w:val="yellow"/>
          <w:lang w:eastAsia="hr-HR"/>
        </w:rPr>
      </w:pPr>
    </w:p>
    <w:p w14:paraId="0E31CD53" w14:textId="77777777" w:rsidR="001269CB" w:rsidRPr="001E4E40" w:rsidRDefault="000F750B" w:rsidP="00450DA7">
      <w:pPr>
        <w:spacing w:after="0" w:line="240" w:lineRule="auto"/>
        <w:jc w:val="both"/>
        <w:rPr>
          <w:sz w:val="24"/>
          <w:highlight w:val="yellow"/>
          <w:lang w:eastAsia="hr-HR"/>
        </w:rPr>
      </w:pPr>
      <w:r w:rsidRPr="001E4E40">
        <w:rPr>
          <w:sz w:val="24"/>
          <w:lang w:eastAsia="hr-HR"/>
        </w:rPr>
        <w:t xml:space="preserve">I u ovim slučajevima potrebno je poštivati pravila za </w:t>
      </w:r>
      <w:r w:rsidR="00D91492" w:rsidRPr="001E4E40">
        <w:rPr>
          <w:sz w:val="24"/>
          <w:lang w:eastAsia="hr-HR"/>
        </w:rPr>
        <w:t xml:space="preserve">sukcesivno planiranje pokrića </w:t>
      </w:r>
      <w:r w:rsidR="00D713FE" w:rsidRPr="001E4E40">
        <w:rPr>
          <w:sz w:val="24"/>
          <w:lang w:eastAsia="hr-HR"/>
        </w:rPr>
        <w:t xml:space="preserve">manjka </w:t>
      </w:r>
      <w:r w:rsidRPr="001E4E40">
        <w:rPr>
          <w:sz w:val="24"/>
          <w:lang w:eastAsia="hr-HR"/>
        </w:rPr>
        <w:t>dana Uputama za izradu proračuna jedinica lokalne i područne (regionalne) samouprave za razdoblje 2018. - 2020.</w:t>
      </w:r>
    </w:p>
    <w:p w14:paraId="0E8094E9" w14:textId="77777777" w:rsidR="00F145A5" w:rsidRDefault="00F145A5" w:rsidP="00FF1621">
      <w:pPr>
        <w:spacing w:after="0" w:line="240" w:lineRule="auto"/>
        <w:jc w:val="both"/>
        <w:rPr>
          <w:rFonts w:eastAsiaTheme="majorEastAsia" w:cstheme="majorBidi"/>
          <w:bCs/>
          <w:sz w:val="24"/>
          <w:szCs w:val="24"/>
          <w:lang w:eastAsia="hr-HR"/>
        </w:rPr>
      </w:pPr>
    </w:p>
    <w:p w14:paraId="0E537A53" w14:textId="77777777" w:rsidR="00012A69" w:rsidRPr="001E4E40" w:rsidRDefault="00012A69" w:rsidP="00FF1621">
      <w:pPr>
        <w:spacing w:after="0" w:line="240" w:lineRule="auto"/>
        <w:jc w:val="both"/>
        <w:rPr>
          <w:rFonts w:eastAsiaTheme="majorEastAsia" w:cstheme="majorBidi"/>
          <w:bCs/>
          <w:sz w:val="24"/>
          <w:szCs w:val="24"/>
          <w:lang w:eastAsia="hr-HR"/>
        </w:rPr>
      </w:pPr>
    </w:p>
    <w:p w14:paraId="75DD5767" w14:textId="77777777" w:rsidR="0059616E" w:rsidRPr="001E4E40" w:rsidRDefault="0059616E" w:rsidP="00012A69">
      <w:pPr>
        <w:keepNext/>
        <w:keepLines/>
        <w:numPr>
          <w:ilvl w:val="1"/>
          <w:numId w:val="2"/>
        </w:numPr>
        <w:spacing w:after="0" w:line="240" w:lineRule="auto"/>
        <w:ind w:left="1077"/>
        <w:jc w:val="both"/>
        <w:outlineLvl w:val="1"/>
        <w:rPr>
          <w:rFonts w:eastAsiaTheme="majorEastAsia" w:cstheme="majorBidi"/>
          <w:b/>
          <w:bCs/>
          <w:sz w:val="24"/>
          <w:szCs w:val="24"/>
          <w:lang w:eastAsia="hr-HR"/>
        </w:rPr>
      </w:pPr>
      <w:bookmarkStart w:id="12" w:name="_Toc18594171"/>
      <w:r w:rsidRPr="001E4E40">
        <w:rPr>
          <w:rFonts w:eastAsiaTheme="majorEastAsia" w:cstheme="majorBidi"/>
          <w:b/>
          <w:bCs/>
          <w:sz w:val="24"/>
          <w:szCs w:val="24"/>
          <w:lang w:eastAsia="hr-HR"/>
        </w:rPr>
        <w:t>Uključivanje višegodišnjeg kapitalnog projekta koji se financira iz zaduživanja u izmjene i dopune proračuna</w:t>
      </w:r>
      <w:bookmarkEnd w:id="12"/>
    </w:p>
    <w:p w14:paraId="476F036D" w14:textId="77777777" w:rsidR="00D91492" w:rsidRPr="001E4E40" w:rsidRDefault="00D91492" w:rsidP="00AD2DAF">
      <w:pPr>
        <w:spacing w:after="0" w:line="240" w:lineRule="auto"/>
        <w:jc w:val="both"/>
        <w:rPr>
          <w:sz w:val="24"/>
          <w:lang w:eastAsia="hr-HR"/>
        </w:rPr>
      </w:pPr>
    </w:p>
    <w:p w14:paraId="08E353ED" w14:textId="428AB12F" w:rsidR="0059616E" w:rsidRPr="001E4E40" w:rsidRDefault="0059616E" w:rsidP="0059616E">
      <w:pPr>
        <w:spacing w:after="0" w:line="240" w:lineRule="auto"/>
        <w:jc w:val="both"/>
        <w:rPr>
          <w:sz w:val="24"/>
          <w:lang w:eastAsia="hr-HR"/>
        </w:rPr>
      </w:pPr>
      <w:r w:rsidRPr="001E4E40">
        <w:rPr>
          <w:sz w:val="24"/>
          <w:lang w:eastAsia="hr-HR"/>
        </w:rPr>
        <w:t xml:space="preserve">Člankom 87. stavkom 1. Zakona o proračunu propisano je sljedeće: „(1) Jedinca lokalne i područne (regionalne) samouprave može se dugoročno zadužiti samo za investiciju koja se financira iz njezina proračuna, a koju potvrdi </w:t>
      </w:r>
      <w:r w:rsidR="00534B5C">
        <w:rPr>
          <w:sz w:val="24"/>
          <w:lang w:eastAsia="hr-HR"/>
        </w:rPr>
        <w:t xml:space="preserve">njezino predstavničko tijelo uz </w:t>
      </w:r>
      <w:r w:rsidRPr="001E4E40">
        <w:rPr>
          <w:sz w:val="24"/>
          <w:lang w:eastAsia="hr-HR"/>
        </w:rPr>
        <w:t xml:space="preserve">suglasnost Vlade, a na prijedlog ministra financija.“. Nadalje, članak 4. stavak 2. Pravilnika o postupku zaduživanja te davanja jamstva i suglasnosti jedinica lokalne i područne (regionalne) samouprave (Narodne novine, br. 55/09 i 139/10) propisuje sljedeće: „(2) Investicija iz stavka l. ovoga članka mora biti planirana u proračunu općine, grada ili županije za proračunsku godinu za koju se traži suglasnost za zaduživanje, a u skladu s člankom 16. Zakona o proračunu, te utvrđena u odluci o izvršavanju proračuna u skladu s člankom 4. stavkom 2. Zakona o proračunu.“. </w:t>
      </w:r>
    </w:p>
    <w:p w14:paraId="14177115" w14:textId="77777777" w:rsidR="0059616E" w:rsidRPr="001E4E40" w:rsidRDefault="0059616E" w:rsidP="0059616E">
      <w:pPr>
        <w:spacing w:after="0" w:line="240" w:lineRule="auto"/>
        <w:jc w:val="both"/>
        <w:rPr>
          <w:sz w:val="24"/>
          <w:lang w:eastAsia="hr-HR"/>
        </w:rPr>
      </w:pPr>
    </w:p>
    <w:p w14:paraId="6259FF21" w14:textId="111534D9" w:rsidR="0059616E" w:rsidRPr="001E4E40" w:rsidRDefault="0059616E" w:rsidP="0059616E">
      <w:pPr>
        <w:spacing w:after="0" w:line="240" w:lineRule="auto"/>
        <w:jc w:val="both"/>
        <w:rPr>
          <w:sz w:val="24"/>
          <w:lang w:eastAsia="hr-HR"/>
        </w:rPr>
      </w:pPr>
      <w:r w:rsidRPr="001E4E40">
        <w:rPr>
          <w:sz w:val="24"/>
          <w:lang w:eastAsia="hr-HR"/>
        </w:rPr>
        <w:t xml:space="preserve">U praksi su se pojavili slučajevi kod kojih jedinica zatraži suglasnost za zaduženje radi financiranja provedbe </w:t>
      </w:r>
      <w:r w:rsidR="00F75E28" w:rsidRPr="001E4E40">
        <w:rPr>
          <w:sz w:val="24"/>
          <w:lang w:eastAsia="hr-HR"/>
        </w:rPr>
        <w:t xml:space="preserve">višegodišnjeg </w:t>
      </w:r>
      <w:r w:rsidRPr="001E4E40">
        <w:rPr>
          <w:sz w:val="24"/>
          <w:lang w:eastAsia="hr-HR"/>
        </w:rPr>
        <w:t xml:space="preserve">kapitalnog projekta (predfinanciranje) za koji je jedinici odobreno sufinanciranje iz EU pomoći (EU sredstva u cijelosti ili većim dijelom dolaze kao refundacija), ali </w:t>
      </w:r>
      <w:r w:rsidR="00BF07A4">
        <w:rPr>
          <w:sz w:val="24"/>
          <w:lang w:eastAsia="hr-HR"/>
        </w:rPr>
        <w:t>zbog izmijenjenih okolnosti plan projekta predviđen proračunom i projekcijama više nije u skladu sa stvarnim potrebama projekta te ga je potrebno izmijeniti</w:t>
      </w:r>
      <w:r w:rsidRPr="001E4E40">
        <w:rPr>
          <w:sz w:val="24"/>
          <w:lang w:eastAsia="hr-HR"/>
        </w:rPr>
        <w:t xml:space="preserve">. </w:t>
      </w:r>
    </w:p>
    <w:p w14:paraId="319D8049" w14:textId="77777777" w:rsidR="0059616E" w:rsidRPr="001E4E40" w:rsidRDefault="0059616E" w:rsidP="0059616E">
      <w:pPr>
        <w:spacing w:after="0" w:line="240" w:lineRule="auto"/>
        <w:jc w:val="both"/>
        <w:rPr>
          <w:sz w:val="24"/>
          <w:lang w:eastAsia="hr-HR"/>
        </w:rPr>
      </w:pPr>
    </w:p>
    <w:p w14:paraId="024F4E8F" w14:textId="690F75B6" w:rsidR="0059616E" w:rsidRPr="001E4E40" w:rsidRDefault="0098075D" w:rsidP="0059616E">
      <w:pPr>
        <w:spacing w:after="0" w:line="240" w:lineRule="auto"/>
        <w:jc w:val="both"/>
        <w:rPr>
          <w:sz w:val="24"/>
          <w:lang w:eastAsia="hr-HR"/>
        </w:rPr>
      </w:pPr>
      <w:r>
        <w:rPr>
          <w:sz w:val="24"/>
          <w:lang w:eastAsia="hr-HR"/>
        </w:rPr>
        <w:t>Primjerice</w:t>
      </w:r>
      <w:r w:rsidR="0059616E" w:rsidRPr="001E4E40">
        <w:rPr>
          <w:sz w:val="24"/>
          <w:lang w:eastAsia="hr-HR"/>
        </w:rPr>
        <w:t xml:space="preserve">, jedinica je prije </w:t>
      </w:r>
      <w:r w:rsidR="00534B5C">
        <w:rPr>
          <w:sz w:val="24"/>
          <w:lang w:eastAsia="hr-HR"/>
        </w:rPr>
        <w:t>dvije</w:t>
      </w:r>
      <w:r w:rsidR="0059616E" w:rsidRPr="001E4E40">
        <w:rPr>
          <w:sz w:val="24"/>
          <w:lang w:eastAsia="hr-HR"/>
        </w:rPr>
        <w:t xml:space="preserve"> godine izradila procjenu troškova izgradnje novog dječjeg vrtića u visini 3</w:t>
      </w:r>
      <w:r w:rsidR="00534B5C">
        <w:rPr>
          <w:sz w:val="24"/>
          <w:lang w:eastAsia="hr-HR"/>
        </w:rPr>
        <w:t>,0</w:t>
      </w:r>
      <w:r w:rsidR="0059616E" w:rsidRPr="001E4E40">
        <w:rPr>
          <w:sz w:val="24"/>
          <w:lang w:eastAsia="hr-HR"/>
        </w:rPr>
        <w:t xml:space="preserve"> milijuna kuna te se prijavila na poziv za dodjelu bespovratnih sredstava za sufinanciranje projekata, koja su joj zatim odobrena. Jedinica je planirala provedbu projekta u svom proračunu za tekuću godinu (godina t = 1,5 milijuna kuna) i projekcij</w:t>
      </w:r>
      <w:r w:rsidR="00FA339C">
        <w:rPr>
          <w:sz w:val="24"/>
          <w:lang w:eastAsia="hr-HR"/>
        </w:rPr>
        <w:t>i</w:t>
      </w:r>
      <w:r w:rsidR="0059616E" w:rsidRPr="001E4E40">
        <w:rPr>
          <w:sz w:val="24"/>
          <w:lang w:eastAsia="hr-HR"/>
        </w:rPr>
        <w:t xml:space="preserve"> za sljedeć</w:t>
      </w:r>
      <w:r w:rsidR="00FA339C">
        <w:rPr>
          <w:sz w:val="24"/>
          <w:lang w:eastAsia="hr-HR"/>
        </w:rPr>
        <w:t>u</w:t>
      </w:r>
      <w:r w:rsidR="0059616E" w:rsidRPr="001E4E40">
        <w:rPr>
          <w:sz w:val="24"/>
          <w:lang w:eastAsia="hr-HR"/>
        </w:rPr>
        <w:t xml:space="preserve"> godin</w:t>
      </w:r>
      <w:r w:rsidR="00FA339C">
        <w:rPr>
          <w:sz w:val="24"/>
          <w:lang w:eastAsia="hr-HR"/>
        </w:rPr>
        <w:t>u</w:t>
      </w:r>
      <w:r w:rsidR="0059616E" w:rsidRPr="001E4E40">
        <w:rPr>
          <w:sz w:val="24"/>
          <w:lang w:eastAsia="hr-HR"/>
        </w:rPr>
        <w:t xml:space="preserve"> (godina t+1 = 1,5 milijuna kuna) na način da bi gradnju (pred)financirala iz namjenskog kredita. Međutim</w:t>
      </w:r>
      <w:r w:rsidR="006676A5">
        <w:rPr>
          <w:sz w:val="24"/>
          <w:lang w:eastAsia="hr-HR"/>
        </w:rPr>
        <w:t>,</w:t>
      </w:r>
      <w:r w:rsidR="0059616E" w:rsidRPr="001E4E40">
        <w:rPr>
          <w:sz w:val="24"/>
          <w:lang w:eastAsia="hr-HR"/>
        </w:rPr>
        <w:t xml:space="preserve"> tijekom provedbe postupka javne nabave pokazalo se da su se okolnosti izmijenile te su troškovi izgradnje vrtića značajno porasli u odnosu na procijenjeno na početku provedbe projekta i sada iznose 4</w:t>
      </w:r>
      <w:r w:rsidR="00534B5C">
        <w:rPr>
          <w:sz w:val="24"/>
          <w:lang w:eastAsia="hr-HR"/>
        </w:rPr>
        <w:t>,0</w:t>
      </w:r>
      <w:r w:rsidR="0059616E" w:rsidRPr="001E4E40">
        <w:rPr>
          <w:sz w:val="24"/>
          <w:lang w:eastAsia="hr-HR"/>
        </w:rPr>
        <w:t xml:space="preserve"> milijuna kuna (u godini t = 1,7 milijuna kuna, t+1 = 2,3 milijuna kuna). Stoga je jedinici za financiranje izgradnje vrtića potreban veći iznos kredita, što nije predviđeno njezinim proračunom za tekuću godinu, </w:t>
      </w:r>
      <w:r w:rsidR="00962DD9" w:rsidRPr="001E4E40">
        <w:rPr>
          <w:sz w:val="24"/>
          <w:lang w:eastAsia="hr-HR"/>
        </w:rPr>
        <w:t xml:space="preserve">niti </w:t>
      </w:r>
      <w:r w:rsidR="0059616E" w:rsidRPr="001E4E40">
        <w:rPr>
          <w:sz w:val="24"/>
          <w:lang w:eastAsia="hr-HR"/>
        </w:rPr>
        <w:t>projekcijama</w:t>
      </w:r>
      <w:r w:rsidR="00962DD9" w:rsidRPr="001E4E40">
        <w:rPr>
          <w:sz w:val="24"/>
          <w:lang w:eastAsia="hr-HR"/>
        </w:rPr>
        <w:t>, kao niti</w:t>
      </w:r>
      <w:r w:rsidR="0059616E" w:rsidRPr="001E4E40">
        <w:rPr>
          <w:sz w:val="24"/>
          <w:lang w:eastAsia="hr-HR"/>
        </w:rPr>
        <w:t xml:space="preserve"> odlukom o izvršavanju proračuna. Za usklađenje u tekućoj godini jedinica priprema i donosi izmjene i dopune proračuna u kojima će predvidjeti uvećani iznos primitaka od zaduženja i rashod</w:t>
      </w:r>
      <w:r w:rsidR="009A33D1">
        <w:rPr>
          <w:sz w:val="24"/>
          <w:lang w:eastAsia="hr-HR"/>
        </w:rPr>
        <w:t>a</w:t>
      </w:r>
      <w:r w:rsidR="0059616E" w:rsidRPr="001E4E40">
        <w:rPr>
          <w:sz w:val="24"/>
          <w:lang w:eastAsia="hr-HR"/>
        </w:rPr>
        <w:t xml:space="preserve"> za financiranje izgradnje vrtića.</w:t>
      </w:r>
    </w:p>
    <w:p w14:paraId="378575DA" w14:textId="77777777" w:rsidR="0059616E" w:rsidRPr="001E4E40" w:rsidRDefault="0059616E" w:rsidP="0059616E">
      <w:pPr>
        <w:spacing w:after="0" w:line="240" w:lineRule="auto"/>
        <w:jc w:val="both"/>
        <w:rPr>
          <w:sz w:val="24"/>
          <w:lang w:eastAsia="hr-HR"/>
        </w:rPr>
      </w:pPr>
    </w:p>
    <w:p w14:paraId="160704FE" w14:textId="03189CDC" w:rsidR="00962DD9" w:rsidRPr="001E4E40" w:rsidRDefault="0059616E" w:rsidP="0059616E">
      <w:pPr>
        <w:spacing w:after="0" w:line="240" w:lineRule="auto"/>
        <w:jc w:val="both"/>
        <w:rPr>
          <w:sz w:val="24"/>
          <w:lang w:eastAsia="hr-HR"/>
        </w:rPr>
      </w:pPr>
      <w:r w:rsidRPr="001E4E40">
        <w:rPr>
          <w:sz w:val="24"/>
          <w:lang w:eastAsia="hr-HR"/>
        </w:rPr>
        <w:t xml:space="preserve">Zakonom o proračunu predviđeno je donošenje izmjena i dopuna proračuna, odnosno akta kojim se procjenjuju prihodi i primici te utvrđuju rashodi i izdaci za </w:t>
      </w:r>
      <w:r w:rsidR="00FA339C">
        <w:rPr>
          <w:sz w:val="24"/>
          <w:lang w:eastAsia="hr-HR"/>
        </w:rPr>
        <w:t xml:space="preserve">tekuću </w:t>
      </w:r>
      <w:r w:rsidRPr="001E4E40">
        <w:rPr>
          <w:sz w:val="24"/>
          <w:lang w:eastAsia="hr-HR"/>
        </w:rPr>
        <w:t xml:space="preserve">proračunsku godinu, međutim nije predviđena izmjena usvojenih projekcija za sljedeće dvije proračunske </w:t>
      </w:r>
      <w:r w:rsidRPr="001E4E40">
        <w:rPr>
          <w:sz w:val="24"/>
          <w:lang w:eastAsia="hr-HR"/>
        </w:rPr>
        <w:lastRenderedPageBreak/>
        <w:t xml:space="preserve">godine. </w:t>
      </w:r>
      <w:r w:rsidR="00962DD9" w:rsidRPr="001E4E40">
        <w:rPr>
          <w:sz w:val="24"/>
          <w:lang w:eastAsia="hr-HR"/>
        </w:rPr>
        <w:t>Z</w:t>
      </w:r>
      <w:r w:rsidRPr="001E4E40">
        <w:rPr>
          <w:sz w:val="24"/>
          <w:lang w:eastAsia="hr-HR"/>
        </w:rPr>
        <w:t xml:space="preserve">bog nemogućnosti izmjena projekcija nužno je da predstavničko tijelo jedinice donošenjem odluke o izmjeni odluke o izvršavanju proračuna jedinice za tekuću godinu </w:t>
      </w:r>
      <w:r w:rsidR="00534B5C">
        <w:rPr>
          <w:sz w:val="24"/>
          <w:lang w:eastAsia="hr-HR"/>
        </w:rPr>
        <w:t>navede</w:t>
      </w:r>
      <w:r w:rsidRPr="001E4E40">
        <w:rPr>
          <w:sz w:val="24"/>
          <w:lang w:eastAsia="hr-HR"/>
        </w:rPr>
        <w:t xml:space="preserve"> cjelokupni iznos kredita za navedeni projekt od čega se u tekućoj godini (t) planira povlačenje u iznosu od </w:t>
      </w:r>
      <w:r w:rsidR="00962DD9" w:rsidRPr="001E4E40">
        <w:rPr>
          <w:sz w:val="24"/>
          <w:lang w:eastAsia="hr-HR"/>
        </w:rPr>
        <w:t>1,7 milijuna</w:t>
      </w:r>
      <w:r w:rsidRPr="001E4E40">
        <w:rPr>
          <w:sz w:val="24"/>
          <w:lang w:eastAsia="hr-HR"/>
        </w:rPr>
        <w:t xml:space="preserve"> kuna, a u sljedećoj godini (t+1) u iznosu od </w:t>
      </w:r>
      <w:r w:rsidR="00962DD9" w:rsidRPr="001E4E40">
        <w:rPr>
          <w:sz w:val="24"/>
          <w:lang w:eastAsia="hr-HR"/>
        </w:rPr>
        <w:t>2,3</w:t>
      </w:r>
      <w:r w:rsidRPr="001E4E40">
        <w:rPr>
          <w:sz w:val="24"/>
          <w:lang w:eastAsia="hr-HR"/>
        </w:rPr>
        <w:t xml:space="preserve"> </w:t>
      </w:r>
      <w:r w:rsidR="00962DD9" w:rsidRPr="001E4E40">
        <w:rPr>
          <w:sz w:val="24"/>
          <w:lang w:eastAsia="hr-HR"/>
        </w:rPr>
        <w:t xml:space="preserve">milijuna </w:t>
      </w:r>
      <w:r w:rsidRPr="001E4E40">
        <w:rPr>
          <w:sz w:val="24"/>
          <w:lang w:eastAsia="hr-HR"/>
        </w:rPr>
        <w:t xml:space="preserve">kuna. </w:t>
      </w:r>
      <w:r w:rsidR="00962DD9" w:rsidRPr="001E4E40">
        <w:rPr>
          <w:sz w:val="24"/>
          <w:lang w:eastAsia="hr-HR"/>
        </w:rPr>
        <w:t xml:space="preserve">Iznos od 1,7 milijuna kuna bit će također vidljiv i iskazan po proračunskim klasifikacijama u posebnom dijelu proračuna, a iznos od 2,3 milijuna kuna u izmijenjenoj odluci od izvršavanju. </w:t>
      </w:r>
    </w:p>
    <w:p w14:paraId="7A1C9CC4" w14:textId="77777777" w:rsidR="00AD2DAF" w:rsidRDefault="00AD2DAF" w:rsidP="00AD2DAF">
      <w:pPr>
        <w:spacing w:after="0" w:line="240" w:lineRule="auto"/>
        <w:jc w:val="both"/>
        <w:rPr>
          <w:sz w:val="24"/>
          <w:lang w:eastAsia="hr-HR"/>
        </w:rPr>
      </w:pPr>
    </w:p>
    <w:p w14:paraId="3388690B" w14:textId="77777777" w:rsidR="00012A69" w:rsidRPr="001E4E40" w:rsidRDefault="00012A69" w:rsidP="00AD2DAF">
      <w:pPr>
        <w:spacing w:after="0" w:line="240" w:lineRule="auto"/>
        <w:jc w:val="both"/>
        <w:rPr>
          <w:sz w:val="24"/>
          <w:lang w:eastAsia="hr-HR"/>
        </w:rPr>
      </w:pPr>
    </w:p>
    <w:p w14:paraId="36B6FB5F" w14:textId="5D9DDA5B" w:rsidR="0059616E" w:rsidRPr="001E4E40" w:rsidRDefault="0059616E" w:rsidP="00012A69">
      <w:pPr>
        <w:keepNext/>
        <w:keepLines/>
        <w:numPr>
          <w:ilvl w:val="1"/>
          <w:numId w:val="2"/>
        </w:numPr>
        <w:spacing w:after="0" w:line="240" w:lineRule="auto"/>
        <w:ind w:left="1077"/>
        <w:jc w:val="both"/>
        <w:outlineLvl w:val="1"/>
        <w:rPr>
          <w:rFonts w:eastAsiaTheme="majorEastAsia" w:cstheme="majorBidi"/>
          <w:b/>
          <w:bCs/>
          <w:sz w:val="24"/>
          <w:szCs w:val="24"/>
          <w:lang w:eastAsia="hr-HR"/>
        </w:rPr>
      </w:pPr>
      <w:bookmarkStart w:id="13" w:name="_Toc18594172"/>
      <w:r w:rsidRPr="001E4E40">
        <w:rPr>
          <w:rFonts w:eastAsiaTheme="majorEastAsia" w:cstheme="majorBidi"/>
          <w:b/>
          <w:bCs/>
          <w:sz w:val="24"/>
          <w:szCs w:val="24"/>
          <w:lang w:eastAsia="hr-HR"/>
        </w:rPr>
        <w:t xml:space="preserve">Planiranje višegodišnjeg EU projekta </w:t>
      </w:r>
      <w:r w:rsidR="00566E80" w:rsidRPr="001E4E40">
        <w:rPr>
          <w:rFonts w:eastAsiaTheme="majorEastAsia" w:cstheme="majorBidi"/>
          <w:b/>
          <w:bCs/>
          <w:sz w:val="24"/>
          <w:szCs w:val="24"/>
          <w:lang w:eastAsia="hr-HR"/>
        </w:rPr>
        <w:t xml:space="preserve">za </w:t>
      </w:r>
      <w:r w:rsidRPr="001E4E40">
        <w:rPr>
          <w:rFonts w:eastAsiaTheme="majorEastAsia" w:cstheme="majorBidi"/>
          <w:b/>
          <w:bCs/>
          <w:sz w:val="24"/>
          <w:szCs w:val="24"/>
          <w:lang w:eastAsia="hr-HR"/>
        </w:rPr>
        <w:t xml:space="preserve">koji </w:t>
      </w:r>
      <w:r w:rsidR="00566E80" w:rsidRPr="001E4E40">
        <w:rPr>
          <w:rFonts w:eastAsiaTheme="majorEastAsia" w:cstheme="majorBidi"/>
          <w:b/>
          <w:bCs/>
          <w:sz w:val="24"/>
          <w:szCs w:val="24"/>
          <w:lang w:eastAsia="hr-HR"/>
        </w:rPr>
        <w:t>treba osigurati</w:t>
      </w:r>
      <w:r w:rsidRPr="001E4E40">
        <w:rPr>
          <w:rFonts w:eastAsiaTheme="majorEastAsia" w:cstheme="majorBidi"/>
          <w:b/>
          <w:bCs/>
          <w:sz w:val="24"/>
          <w:szCs w:val="24"/>
          <w:lang w:eastAsia="hr-HR"/>
        </w:rPr>
        <w:t xml:space="preserve"> predfinancira</w:t>
      </w:r>
      <w:r w:rsidR="00566E80" w:rsidRPr="001E4E40">
        <w:rPr>
          <w:rFonts w:eastAsiaTheme="majorEastAsia" w:cstheme="majorBidi"/>
          <w:b/>
          <w:bCs/>
          <w:sz w:val="24"/>
          <w:szCs w:val="24"/>
          <w:lang w:eastAsia="hr-HR"/>
        </w:rPr>
        <w:t>nje</w:t>
      </w:r>
      <w:r w:rsidRPr="001E4E40">
        <w:rPr>
          <w:rFonts w:eastAsiaTheme="majorEastAsia" w:cstheme="majorBidi"/>
          <w:b/>
          <w:bCs/>
          <w:sz w:val="24"/>
          <w:szCs w:val="24"/>
          <w:lang w:eastAsia="hr-HR"/>
        </w:rPr>
        <w:t xml:space="preserve"> iz općih </w:t>
      </w:r>
      <w:r w:rsidR="00566E80" w:rsidRPr="001E4E40">
        <w:rPr>
          <w:rFonts w:eastAsiaTheme="majorEastAsia" w:cstheme="majorBidi"/>
          <w:b/>
          <w:bCs/>
          <w:sz w:val="24"/>
          <w:szCs w:val="24"/>
          <w:lang w:eastAsia="hr-HR"/>
        </w:rPr>
        <w:t xml:space="preserve">ili namjenskih </w:t>
      </w:r>
      <w:r w:rsidRPr="001E4E40">
        <w:rPr>
          <w:rFonts w:eastAsiaTheme="majorEastAsia" w:cstheme="majorBidi"/>
          <w:b/>
          <w:bCs/>
          <w:sz w:val="24"/>
          <w:szCs w:val="24"/>
          <w:lang w:eastAsia="hr-HR"/>
        </w:rPr>
        <w:t xml:space="preserve">prihoda i </w:t>
      </w:r>
      <w:r w:rsidRPr="00FA339C">
        <w:rPr>
          <w:rFonts w:eastAsiaTheme="majorEastAsia" w:cstheme="majorBidi"/>
          <w:b/>
          <w:bCs/>
          <w:sz w:val="24"/>
          <w:szCs w:val="24"/>
          <w:lang w:eastAsia="hr-HR"/>
        </w:rPr>
        <w:t>primitaka</w:t>
      </w:r>
      <w:r w:rsidRPr="001E4E40">
        <w:rPr>
          <w:rFonts w:eastAsiaTheme="majorEastAsia" w:cstheme="majorBidi"/>
          <w:b/>
          <w:bCs/>
          <w:sz w:val="24"/>
          <w:szCs w:val="24"/>
          <w:lang w:eastAsia="hr-HR"/>
        </w:rPr>
        <w:t xml:space="preserve"> </w:t>
      </w:r>
      <w:r w:rsidR="00566E80" w:rsidRPr="001E4E40">
        <w:rPr>
          <w:rFonts w:eastAsiaTheme="majorEastAsia" w:cstheme="majorBidi"/>
          <w:b/>
          <w:bCs/>
          <w:sz w:val="24"/>
          <w:szCs w:val="24"/>
          <w:lang w:eastAsia="hr-HR"/>
        </w:rPr>
        <w:t xml:space="preserve">ili vlastitih prihoda </w:t>
      </w:r>
      <w:r w:rsidRPr="001E4E40">
        <w:rPr>
          <w:rFonts w:eastAsiaTheme="majorEastAsia" w:cstheme="majorBidi"/>
          <w:b/>
          <w:bCs/>
          <w:sz w:val="24"/>
          <w:szCs w:val="24"/>
          <w:lang w:eastAsia="hr-HR"/>
        </w:rPr>
        <w:t xml:space="preserve">jedinice </w:t>
      </w:r>
      <w:r w:rsidR="00FA339C">
        <w:rPr>
          <w:rFonts w:eastAsiaTheme="majorEastAsia" w:cstheme="majorBidi"/>
          <w:b/>
          <w:bCs/>
          <w:sz w:val="24"/>
          <w:szCs w:val="24"/>
          <w:lang w:eastAsia="hr-HR"/>
        </w:rPr>
        <w:t>lokalne i područne (regionalne) samouprave</w:t>
      </w:r>
      <w:bookmarkEnd w:id="13"/>
    </w:p>
    <w:p w14:paraId="255075E1" w14:textId="77777777" w:rsidR="0045552F" w:rsidRPr="001E4E40" w:rsidRDefault="0045552F" w:rsidP="0059616E">
      <w:pPr>
        <w:spacing w:after="0" w:line="240" w:lineRule="auto"/>
        <w:jc w:val="both"/>
        <w:rPr>
          <w:rFonts w:eastAsiaTheme="majorEastAsia" w:cstheme="majorBidi"/>
          <w:bCs/>
          <w:sz w:val="24"/>
          <w:szCs w:val="24"/>
          <w:lang w:eastAsia="hr-HR"/>
        </w:rPr>
      </w:pPr>
    </w:p>
    <w:p w14:paraId="6C60B6EB" w14:textId="089C5111" w:rsidR="00566E80" w:rsidRPr="001E4E40" w:rsidRDefault="0045552F" w:rsidP="0059616E">
      <w:pPr>
        <w:spacing w:after="0" w:line="240" w:lineRule="auto"/>
        <w:jc w:val="both"/>
        <w:rPr>
          <w:sz w:val="24"/>
          <w:lang w:eastAsia="hr-HR"/>
        </w:rPr>
      </w:pPr>
      <w:r w:rsidRPr="001E4E40">
        <w:rPr>
          <w:rFonts w:eastAsiaTheme="majorEastAsia" w:cstheme="majorBidi"/>
          <w:bCs/>
          <w:sz w:val="24"/>
          <w:szCs w:val="24"/>
          <w:lang w:eastAsia="hr-HR"/>
        </w:rPr>
        <w:t>Sve je više</w:t>
      </w:r>
      <w:r w:rsidR="00566E80" w:rsidRPr="001E4E40">
        <w:rPr>
          <w:sz w:val="24"/>
          <w:lang w:eastAsia="hr-HR"/>
        </w:rPr>
        <w:t xml:space="preserve"> sluča</w:t>
      </w:r>
      <w:r w:rsidRPr="001E4E40">
        <w:rPr>
          <w:sz w:val="24"/>
          <w:lang w:eastAsia="hr-HR"/>
        </w:rPr>
        <w:t>jeva</w:t>
      </w:r>
      <w:r w:rsidR="00566E80" w:rsidRPr="001E4E40">
        <w:rPr>
          <w:sz w:val="24"/>
          <w:lang w:eastAsia="hr-HR"/>
        </w:rPr>
        <w:t xml:space="preserve"> u kojima jedinica planira provedbu EU projekta za koji treba osigurati predfinanciranje iz </w:t>
      </w:r>
      <w:r w:rsidRPr="001E4E40">
        <w:rPr>
          <w:sz w:val="24"/>
          <w:lang w:eastAsia="hr-HR"/>
        </w:rPr>
        <w:t xml:space="preserve">svojih </w:t>
      </w:r>
      <w:r w:rsidR="00566E80" w:rsidRPr="001E4E40">
        <w:rPr>
          <w:sz w:val="24"/>
          <w:lang w:eastAsia="hr-HR"/>
        </w:rPr>
        <w:t>općih ili namjenskih prihoda i primitaka ili vlastitih prihoda</w:t>
      </w:r>
      <w:r w:rsidRPr="001E4E40">
        <w:rPr>
          <w:sz w:val="24"/>
          <w:lang w:eastAsia="hr-HR"/>
        </w:rPr>
        <w:t xml:space="preserve">, a naknadno će dobiti refundaciju sredstava od EU (putem provedbenih tijela u Republici Hrvatskoj ili iz drugih zemalja članica). Preporuka je Ministarstva financija u planu proračuna otvoriti poseban podizvor u okviru </w:t>
      </w:r>
      <w:r w:rsidR="001143DB">
        <w:rPr>
          <w:sz w:val="24"/>
          <w:lang w:eastAsia="hr-HR"/>
        </w:rPr>
        <w:t xml:space="preserve">izvora iz </w:t>
      </w:r>
      <w:r w:rsidRPr="001E4E40">
        <w:rPr>
          <w:sz w:val="24"/>
          <w:lang w:eastAsia="hr-HR"/>
        </w:rPr>
        <w:t>kojega će se planirati predfinanciranje EU projekata.</w:t>
      </w:r>
    </w:p>
    <w:p w14:paraId="6BE7E45F" w14:textId="77777777" w:rsidR="0045552F" w:rsidRPr="001E4E40" w:rsidRDefault="0045552F" w:rsidP="0059616E">
      <w:pPr>
        <w:spacing w:after="0" w:line="240" w:lineRule="auto"/>
        <w:jc w:val="both"/>
        <w:rPr>
          <w:sz w:val="24"/>
          <w:lang w:eastAsia="hr-HR"/>
        </w:rPr>
      </w:pPr>
    </w:p>
    <w:p w14:paraId="4AB6A4CC" w14:textId="59310310" w:rsidR="0059616E" w:rsidRPr="001E4E40" w:rsidRDefault="00E46B82" w:rsidP="0059616E">
      <w:pPr>
        <w:spacing w:after="0" w:line="240" w:lineRule="auto"/>
        <w:jc w:val="both"/>
        <w:rPr>
          <w:sz w:val="24"/>
          <w:lang w:eastAsia="hr-HR"/>
        </w:rPr>
      </w:pPr>
      <w:r>
        <w:rPr>
          <w:sz w:val="24"/>
          <w:lang w:eastAsia="hr-HR"/>
        </w:rPr>
        <w:t>P</w:t>
      </w:r>
      <w:r w:rsidR="00C838F5">
        <w:rPr>
          <w:sz w:val="24"/>
          <w:lang w:eastAsia="hr-HR"/>
        </w:rPr>
        <w:t>rimjerice</w:t>
      </w:r>
      <w:r w:rsidR="0045552F" w:rsidRPr="001E4E40">
        <w:rPr>
          <w:sz w:val="24"/>
          <w:lang w:eastAsia="hr-HR"/>
        </w:rPr>
        <w:t>, u</w:t>
      </w:r>
      <w:r w:rsidR="0059616E" w:rsidRPr="001E4E40">
        <w:rPr>
          <w:sz w:val="24"/>
          <w:lang w:eastAsia="hr-HR"/>
        </w:rPr>
        <w:t xml:space="preserve"> slučajevima kada jedinica provodi EU projekte za koje se rashodi financiraju iz </w:t>
      </w:r>
      <w:r w:rsidR="003D443E" w:rsidRPr="001E4E40">
        <w:rPr>
          <w:sz w:val="24"/>
          <w:lang w:eastAsia="hr-HR"/>
        </w:rPr>
        <w:t>općih prihoda i primitaka</w:t>
      </w:r>
      <w:r w:rsidR="0059616E" w:rsidRPr="001E4E40">
        <w:rPr>
          <w:sz w:val="24"/>
          <w:lang w:eastAsia="hr-HR"/>
        </w:rPr>
        <w:t xml:space="preserve"> </w:t>
      </w:r>
      <w:r w:rsidR="0045552F" w:rsidRPr="001E4E40">
        <w:rPr>
          <w:sz w:val="24"/>
          <w:lang w:eastAsia="hr-HR"/>
        </w:rPr>
        <w:t>(</w:t>
      </w:r>
      <w:r w:rsidR="0059616E" w:rsidRPr="001E4E40">
        <w:rPr>
          <w:sz w:val="24"/>
          <w:lang w:eastAsia="hr-HR"/>
        </w:rPr>
        <w:t>nastali troškovi se kasnije refundiraju od strane institucija EU</w:t>
      </w:r>
      <w:r w:rsidR="0045552F" w:rsidRPr="001E4E40">
        <w:rPr>
          <w:sz w:val="24"/>
          <w:lang w:eastAsia="hr-HR"/>
        </w:rPr>
        <w:t>)</w:t>
      </w:r>
      <w:r w:rsidR="0059616E" w:rsidRPr="001E4E40">
        <w:rPr>
          <w:sz w:val="24"/>
          <w:lang w:eastAsia="hr-HR"/>
        </w:rPr>
        <w:t xml:space="preserve"> </w:t>
      </w:r>
      <w:r w:rsidR="0045552F" w:rsidRPr="001E4E40">
        <w:rPr>
          <w:sz w:val="24"/>
          <w:lang w:eastAsia="hr-HR"/>
        </w:rPr>
        <w:t>jedinica će</w:t>
      </w:r>
      <w:r w:rsidR="0059616E" w:rsidRPr="001E4E40">
        <w:rPr>
          <w:sz w:val="24"/>
          <w:lang w:eastAsia="hr-HR"/>
        </w:rPr>
        <w:t xml:space="preserve"> otvoriti poseban podizvor u okviru kojega će se planirati predfinanciranje EU projekata iz općih prihoda i</w:t>
      </w:r>
      <w:r w:rsidR="0045552F" w:rsidRPr="001E4E40">
        <w:rPr>
          <w:sz w:val="24"/>
          <w:lang w:eastAsia="hr-HR"/>
        </w:rPr>
        <w:t xml:space="preserve"> primitaka jedinice</w:t>
      </w:r>
      <w:r w:rsidR="0059616E" w:rsidRPr="001E4E40">
        <w:rPr>
          <w:sz w:val="24"/>
          <w:lang w:eastAsia="hr-HR"/>
        </w:rPr>
        <w:t xml:space="preserve">. Navedeni podizvor otvorit će se u okviru izvora Opći prihodi i primici s obzirom na to da se taj podizvor treba „puniti“ iz izvora Opći prihodi i primici. U nastavku se </w:t>
      </w:r>
      <w:r w:rsidR="00534B5C">
        <w:rPr>
          <w:sz w:val="24"/>
          <w:lang w:eastAsia="hr-HR"/>
        </w:rPr>
        <w:t>daje primjer planiranja ovakvog</w:t>
      </w:r>
      <w:r w:rsidR="0059616E" w:rsidRPr="001E4E40">
        <w:rPr>
          <w:sz w:val="24"/>
          <w:lang w:eastAsia="hr-HR"/>
        </w:rPr>
        <w:t xml:space="preserve"> projekta u proračunu</w:t>
      </w:r>
      <w:r w:rsidR="0045552F" w:rsidRPr="001E4E40">
        <w:rPr>
          <w:sz w:val="24"/>
          <w:lang w:eastAsia="hr-HR"/>
        </w:rPr>
        <w:t xml:space="preserve"> - dogradnja dječjeg vrtića</w:t>
      </w:r>
      <w:r w:rsidR="00185AFC" w:rsidRPr="001E4E40">
        <w:rPr>
          <w:sz w:val="24"/>
          <w:lang w:eastAsia="hr-HR"/>
        </w:rPr>
        <w:t xml:space="preserve"> u Općini X</w:t>
      </w:r>
      <w:r w:rsidR="0059616E" w:rsidRPr="001E4E40">
        <w:rPr>
          <w:sz w:val="24"/>
          <w:lang w:eastAsia="hr-HR"/>
        </w:rPr>
        <w:t>.</w:t>
      </w:r>
    </w:p>
    <w:p w14:paraId="66EAE410" w14:textId="77777777" w:rsidR="00566E80" w:rsidRPr="001E4E40" w:rsidRDefault="00566E80" w:rsidP="0059616E">
      <w:pPr>
        <w:spacing w:after="0" w:line="240" w:lineRule="auto"/>
        <w:jc w:val="both"/>
        <w:rPr>
          <w:sz w:val="24"/>
          <w:lang w:eastAsia="hr-HR"/>
        </w:rPr>
      </w:pPr>
    </w:p>
    <w:p w14:paraId="5C3C2063" w14:textId="1AB4066D" w:rsidR="00566E80" w:rsidRPr="001E4E40" w:rsidRDefault="00566E80" w:rsidP="00566E80">
      <w:pPr>
        <w:spacing w:after="0" w:line="240" w:lineRule="auto"/>
        <w:jc w:val="both"/>
        <w:rPr>
          <w:sz w:val="24"/>
          <w:lang w:eastAsia="hr-HR"/>
        </w:rPr>
      </w:pPr>
      <w:r w:rsidRPr="001E4E40">
        <w:rPr>
          <w:sz w:val="24"/>
          <w:lang w:eastAsia="hr-HR"/>
        </w:rPr>
        <w:t>Ukupna vrijednost projekta</w:t>
      </w:r>
      <w:r w:rsidR="0045552F" w:rsidRPr="001E4E40">
        <w:rPr>
          <w:sz w:val="24"/>
          <w:lang w:eastAsia="hr-HR"/>
        </w:rPr>
        <w:t xml:space="preserve"> je</w:t>
      </w:r>
      <w:r w:rsidRPr="001E4E40">
        <w:rPr>
          <w:sz w:val="24"/>
          <w:lang w:eastAsia="hr-HR"/>
        </w:rPr>
        <w:t xml:space="preserve"> 1</w:t>
      </w:r>
      <w:r w:rsidR="0045552F" w:rsidRPr="001E4E40">
        <w:rPr>
          <w:sz w:val="24"/>
          <w:lang w:eastAsia="hr-HR"/>
        </w:rPr>
        <w:t>0</w:t>
      </w:r>
      <w:r w:rsidR="001143DB">
        <w:rPr>
          <w:sz w:val="24"/>
          <w:lang w:eastAsia="hr-HR"/>
        </w:rPr>
        <w:t>,0 milijuna</w:t>
      </w:r>
      <w:r w:rsidRPr="001E4E40">
        <w:rPr>
          <w:sz w:val="24"/>
          <w:lang w:eastAsia="hr-HR"/>
        </w:rPr>
        <w:t xml:space="preserve"> k</w:t>
      </w:r>
      <w:r w:rsidR="001143DB">
        <w:rPr>
          <w:sz w:val="24"/>
          <w:lang w:eastAsia="hr-HR"/>
        </w:rPr>
        <w:t>u</w:t>
      </w:r>
      <w:r w:rsidRPr="001E4E40">
        <w:rPr>
          <w:sz w:val="24"/>
          <w:lang w:eastAsia="hr-HR"/>
        </w:rPr>
        <w:t>n</w:t>
      </w:r>
      <w:r w:rsidR="001143DB">
        <w:rPr>
          <w:sz w:val="24"/>
          <w:lang w:eastAsia="hr-HR"/>
        </w:rPr>
        <w:t>a</w:t>
      </w:r>
      <w:r w:rsidRPr="001E4E40">
        <w:rPr>
          <w:sz w:val="24"/>
          <w:lang w:eastAsia="hr-HR"/>
        </w:rPr>
        <w:t xml:space="preserve"> od čega su </w:t>
      </w:r>
      <w:r w:rsidR="00185AFC" w:rsidRPr="001E4E40">
        <w:rPr>
          <w:sz w:val="24"/>
          <w:lang w:eastAsia="hr-HR"/>
        </w:rPr>
        <w:t>Općini X</w:t>
      </w:r>
      <w:r w:rsidRPr="001E4E40">
        <w:rPr>
          <w:sz w:val="24"/>
          <w:lang w:eastAsia="hr-HR"/>
        </w:rPr>
        <w:t xml:space="preserve"> odobrena sredstva iz fondova EU </w:t>
      </w:r>
      <w:r w:rsidR="0045552F" w:rsidRPr="001E4E40">
        <w:rPr>
          <w:sz w:val="24"/>
          <w:lang w:eastAsia="hr-HR"/>
        </w:rPr>
        <w:t>u iznosu od 6</w:t>
      </w:r>
      <w:r w:rsidR="001143DB">
        <w:rPr>
          <w:sz w:val="24"/>
          <w:lang w:eastAsia="hr-HR"/>
        </w:rPr>
        <w:t>,0 milijuna kuna</w:t>
      </w:r>
      <w:r w:rsidRPr="001E4E40">
        <w:rPr>
          <w:sz w:val="24"/>
          <w:lang w:eastAsia="hr-HR"/>
        </w:rPr>
        <w:t>, a vlastiti udio sufinanciranja iznosi 4</w:t>
      </w:r>
      <w:r w:rsidR="001143DB">
        <w:rPr>
          <w:sz w:val="24"/>
          <w:lang w:eastAsia="hr-HR"/>
        </w:rPr>
        <w:t>,0 milijuna kuna</w:t>
      </w:r>
      <w:r w:rsidR="0045552F" w:rsidRPr="001E4E40">
        <w:rPr>
          <w:sz w:val="24"/>
          <w:lang w:eastAsia="hr-HR"/>
        </w:rPr>
        <w:t xml:space="preserve">. </w:t>
      </w:r>
      <w:r w:rsidRPr="001E4E40">
        <w:rPr>
          <w:sz w:val="24"/>
          <w:lang w:eastAsia="hr-HR"/>
        </w:rPr>
        <w:t xml:space="preserve">Za izvršenje projekta odobren je predujam </w:t>
      </w:r>
      <w:r w:rsidR="00185AFC" w:rsidRPr="001E4E40">
        <w:rPr>
          <w:sz w:val="24"/>
          <w:lang w:eastAsia="hr-HR"/>
        </w:rPr>
        <w:t xml:space="preserve">EU sredstava </w:t>
      </w:r>
      <w:r w:rsidRPr="001E4E40">
        <w:rPr>
          <w:sz w:val="24"/>
          <w:lang w:eastAsia="hr-HR"/>
        </w:rPr>
        <w:t xml:space="preserve">u visini od </w:t>
      </w:r>
      <w:r w:rsidR="0045552F" w:rsidRPr="001E4E40">
        <w:rPr>
          <w:sz w:val="24"/>
          <w:lang w:eastAsia="hr-HR"/>
        </w:rPr>
        <w:t>3</w:t>
      </w:r>
      <w:r w:rsidRPr="001E4E40">
        <w:rPr>
          <w:sz w:val="24"/>
          <w:lang w:eastAsia="hr-HR"/>
        </w:rPr>
        <w:t>0% odobrenog iznosa pomoći</w:t>
      </w:r>
      <w:r w:rsidR="00185AFC" w:rsidRPr="001E4E40">
        <w:rPr>
          <w:sz w:val="24"/>
          <w:lang w:eastAsia="hr-HR"/>
        </w:rPr>
        <w:t>, odnosno</w:t>
      </w:r>
      <w:r w:rsidRPr="001E4E40">
        <w:rPr>
          <w:sz w:val="24"/>
          <w:lang w:eastAsia="hr-HR"/>
        </w:rPr>
        <w:t xml:space="preserve"> </w:t>
      </w:r>
      <w:r w:rsidR="001143DB">
        <w:rPr>
          <w:sz w:val="24"/>
          <w:lang w:eastAsia="hr-HR"/>
        </w:rPr>
        <w:t>1,8 milijuna kuna</w:t>
      </w:r>
      <w:r w:rsidRPr="001E4E40">
        <w:rPr>
          <w:sz w:val="24"/>
          <w:lang w:eastAsia="hr-HR"/>
        </w:rPr>
        <w:t xml:space="preserve">. </w:t>
      </w:r>
      <w:r w:rsidR="00185AFC" w:rsidRPr="001E4E40">
        <w:rPr>
          <w:sz w:val="24"/>
          <w:lang w:eastAsia="hr-HR"/>
        </w:rPr>
        <w:t>Nije poznato hoće li r</w:t>
      </w:r>
      <w:r w:rsidRPr="001E4E40">
        <w:rPr>
          <w:sz w:val="24"/>
          <w:lang w:eastAsia="hr-HR"/>
        </w:rPr>
        <w:t>efu</w:t>
      </w:r>
      <w:r w:rsidR="00185AFC" w:rsidRPr="001E4E40">
        <w:rPr>
          <w:sz w:val="24"/>
          <w:lang w:eastAsia="hr-HR"/>
        </w:rPr>
        <w:t>ndacija preostalih EU sredstava doći u istoj godini, pa se ostatak sredstava za provedbu projekta (razlika između ukupne vrijednosti projekta i iznosa predujma i vlastitog udjela u sufinanciranju) planira financirati iz općih prihoda i primitaka</w:t>
      </w:r>
      <w:r w:rsidRPr="001E4E40">
        <w:rPr>
          <w:sz w:val="24"/>
          <w:lang w:eastAsia="hr-HR"/>
        </w:rPr>
        <w:t>.</w:t>
      </w:r>
    </w:p>
    <w:p w14:paraId="5BDD1321" w14:textId="77777777" w:rsidR="0059616E" w:rsidRPr="00117ECF" w:rsidRDefault="0059616E" w:rsidP="0059616E">
      <w:pPr>
        <w:spacing w:after="0" w:line="240" w:lineRule="auto"/>
        <w:jc w:val="both"/>
        <w:rPr>
          <w:sz w:val="16"/>
          <w:lang w:eastAsia="hr-HR"/>
        </w:rPr>
      </w:pPr>
    </w:p>
    <w:p w14:paraId="4B33BDD7" w14:textId="09125B4B" w:rsidR="0059616E" w:rsidRPr="001E4E40" w:rsidRDefault="0059616E" w:rsidP="0059616E">
      <w:pPr>
        <w:spacing w:after="0" w:line="240" w:lineRule="auto"/>
        <w:rPr>
          <w:rFonts w:eastAsia="Times New Roman" w:cs="Times New Roman"/>
          <w:b/>
          <w:bCs/>
          <w:szCs w:val="20"/>
          <w:lang w:eastAsia="hr-HR"/>
        </w:rPr>
      </w:pPr>
      <w:r w:rsidRPr="001E4E40">
        <w:rPr>
          <w:rFonts w:eastAsia="Times New Roman" w:cs="Times New Roman"/>
          <w:b/>
          <w:bCs/>
          <w:szCs w:val="20"/>
          <w:lang w:eastAsia="hr-HR"/>
        </w:rPr>
        <w:t>2019. godina         </w:t>
      </w:r>
      <w:r w:rsidR="00185AFC" w:rsidRPr="001E4E40">
        <w:rPr>
          <w:rFonts w:eastAsia="Times New Roman" w:cs="Times New Roman"/>
          <w:b/>
          <w:bCs/>
          <w:szCs w:val="20"/>
          <w:lang w:eastAsia="hr-HR"/>
        </w:rPr>
        <w:t xml:space="preserve">             </w:t>
      </w:r>
      <w:r w:rsidRPr="001E4E40">
        <w:rPr>
          <w:rFonts w:eastAsia="Times New Roman" w:cs="Times New Roman"/>
          <w:b/>
          <w:bCs/>
          <w:szCs w:val="20"/>
          <w:lang w:eastAsia="hr-HR"/>
        </w:rPr>
        <w:t>       VRIJEDNOST PROJEKTA             1</w:t>
      </w:r>
      <w:r w:rsidR="00185AFC" w:rsidRPr="001E4E40">
        <w:rPr>
          <w:rFonts w:eastAsia="Times New Roman" w:cs="Times New Roman"/>
          <w:b/>
          <w:bCs/>
          <w:szCs w:val="20"/>
          <w:lang w:eastAsia="hr-HR"/>
        </w:rPr>
        <w:t>0</w:t>
      </w:r>
      <w:r w:rsidRPr="001E4E40">
        <w:rPr>
          <w:rFonts w:eastAsia="Times New Roman" w:cs="Times New Roman"/>
          <w:b/>
          <w:bCs/>
          <w:szCs w:val="20"/>
          <w:lang w:eastAsia="hr-HR"/>
        </w:rPr>
        <w:t>.000.000,00</w:t>
      </w:r>
    </w:p>
    <w:p w14:paraId="1B06CDAE" w14:textId="77777777" w:rsidR="0059616E" w:rsidRPr="001E4E40" w:rsidRDefault="0059616E" w:rsidP="0059616E">
      <w:pPr>
        <w:spacing w:after="0" w:line="240" w:lineRule="auto"/>
        <w:rPr>
          <w:rFonts w:eastAsia="Times New Roman" w:cs="Times New Roman"/>
          <w:sz w:val="24"/>
          <w:lang w:eastAsia="hr-HR"/>
        </w:rPr>
      </w:pPr>
    </w:p>
    <w:p w14:paraId="6F0D4740" w14:textId="18B32093" w:rsidR="0059616E" w:rsidRPr="001E4E40" w:rsidRDefault="0059616E" w:rsidP="0059616E">
      <w:pPr>
        <w:spacing w:after="0" w:line="240" w:lineRule="auto"/>
        <w:rPr>
          <w:rFonts w:eastAsia="Times New Roman" w:cs="Times New Roman"/>
          <w:b/>
          <w:sz w:val="24"/>
          <w:lang w:eastAsia="hr-HR"/>
        </w:rPr>
      </w:pPr>
      <w:r w:rsidRPr="001E4E40">
        <w:rPr>
          <w:rFonts w:eastAsia="Times New Roman" w:cs="Times New Roman"/>
          <w:b/>
          <w:szCs w:val="20"/>
          <w:lang w:eastAsia="hr-HR"/>
        </w:rPr>
        <w:t>PRIHODI                                                     </w:t>
      </w:r>
      <w:r w:rsidR="0087328B" w:rsidRPr="001E4E40">
        <w:rPr>
          <w:rFonts w:eastAsia="Times New Roman" w:cs="Times New Roman"/>
          <w:b/>
          <w:szCs w:val="20"/>
          <w:lang w:eastAsia="hr-HR"/>
        </w:rPr>
        <w:t xml:space="preserve">             </w:t>
      </w:r>
      <w:r w:rsidRPr="001E4E40">
        <w:rPr>
          <w:rFonts w:eastAsia="Times New Roman" w:cs="Times New Roman"/>
          <w:b/>
          <w:szCs w:val="20"/>
          <w:lang w:eastAsia="hr-HR"/>
        </w:rPr>
        <w:t>    plan                                   izvršenje</w:t>
      </w:r>
    </w:p>
    <w:p w14:paraId="6B73678C" w14:textId="5C04DA70" w:rsidR="0059616E" w:rsidRPr="001E4E40" w:rsidRDefault="0059616E" w:rsidP="0059616E">
      <w:pPr>
        <w:spacing w:after="0" w:line="240" w:lineRule="auto"/>
        <w:rPr>
          <w:rFonts w:eastAsia="Times New Roman" w:cs="Times New Roman"/>
          <w:szCs w:val="20"/>
          <w:lang w:eastAsia="hr-HR"/>
        </w:rPr>
      </w:pPr>
      <w:r w:rsidRPr="001E4E40">
        <w:rPr>
          <w:rFonts w:eastAsia="Times New Roman" w:cs="Times New Roman"/>
          <w:szCs w:val="20"/>
          <w:lang w:eastAsia="hr-HR"/>
        </w:rPr>
        <w:t>POMOĆI                                                      </w:t>
      </w:r>
      <w:r w:rsidR="0087328B" w:rsidRPr="001E4E40">
        <w:rPr>
          <w:rFonts w:eastAsia="Times New Roman" w:cs="Times New Roman"/>
          <w:szCs w:val="20"/>
          <w:lang w:eastAsia="hr-HR"/>
        </w:rPr>
        <w:t xml:space="preserve">     </w:t>
      </w:r>
      <w:r w:rsidR="002C73CD">
        <w:rPr>
          <w:rFonts w:eastAsia="Times New Roman" w:cs="Times New Roman"/>
          <w:szCs w:val="20"/>
          <w:lang w:eastAsia="hr-HR"/>
        </w:rPr>
        <w:t xml:space="preserve"> </w:t>
      </w:r>
      <w:r w:rsidR="0087328B" w:rsidRPr="001E4E40">
        <w:rPr>
          <w:rFonts w:eastAsia="Times New Roman" w:cs="Times New Roman"/>
          <w:szCs w:val="20"/>
          <w:lang w:eastAsia="hr-HR"/>
        </w:rPr>
        <w:t xml:space="preserve">    </w:t>
      </w:r>
      <w:r w:rsidRPr="001E4E40">
        <w:rPr>
          <w:rFonts w:eastAsia="Times New Roman" w:cs="Times New Roman"/>
          <w:szCs w:val="20"/>
          <w:lang w:eastAsia="hr-HR"/>
        </w:rPr>
        <w:t>   </w:t>
      </w:r>
      <w:r w:rsidR="0045552F" w:rsidRPr="001E4E40">
        <w:rPr>
          <w:rFonts w:eastAsia="Times New Roman" w:cs="Times New Roman"/>
          <w:szCs w:val="20"/>
          <w:lang w:eastAsia="hr-HR"/>
        </w:rPr>
        <w:t>1.8</w:t>
      </w:r>
      <w:r w:rsidRPr="001E4E40">
        <w:rPr>
          <w:rFonts w:eastAsia="Times New Roman" w:cs="Times New Roman"/>
          <w:szCs w:val="20"/>
          <w:lang w:eastAsia="hr-HR"/>
        </w:rPr>
        <w:t>00.000,00                  </w:t>
      </w:r>
      <w:r w:rsidR="0087328B" w:rsidRPr="001E4E40">
        <w:rPr>
          <w:rFonts w:eastAsia="Times New Roman" w:cs="Times New Roman"/>
          <w:szCs w:val="20"/>
          <w:lang w:eastAsia="hr-HR"/>
        </w:rPr>
        <w:t xml:space="preserve"> </w:t>
      </w:r>
      <w:r w:rsidRPr="001E4E40">
        <w:rPr>
          <w:rFonts w:eastAsia="Times New Roman" w:cs="Times New Roman"/>
          <w:szCs w:val="20"/>
          <w:lang w:eastAsia="hr-HR"/>
        </w:rPr>
        <w:t xml:space="preserve">   </w:t>
      </w:r>
      <w:r w:rsidR="0045552F" w:rsidRPr="001E4E40">
        <w:rPr>
          <w:rFonts w:eastAsia="Times New Roman" w:cs="Times New Roman"/>
          <w:szCs w:val="20"/>
          <w:lang w:eastAsia="hr-HR"/>
        </w:rPr>
        <w:t>1</w:t>
      </w:r>
      <w:r w:rsidRPr="001E4E40">
        <w:rPr>
          <w:rFonts w:eastAsia="Times New Roman" w:cs="Times New Roman"/>
          <w:szCs w:val="20"/>
          <w:lang w:eastAsia="hr-HR"/>
        </w:rPr>
        <w:t>.</w:t>
      </w:r>
      <w:r w:rsidR="0045552F" w:rsidRPr="001E4E40">
        <w:rPr>
          <w:rFonts w:eastAsia="Times New Roman" w:cs="Times New Roman"/>
          <w:szCs w:val="20"/>
          <w:lang w:eastAsia="hr-HR"/>
        </w:rPr>
        <w:t>8</w:t>
      </w:r>
      <w:r w:rsidRPr="001E4E40">
        <w:rPr>
          <w:rFonts w:eastAsia="Times New Roman" w:cs="Times New Roman"/>
          <w:szCs w:val="20"/>
          <w:lang w:eastAsia="hr-HR"/>
        </w:rPr>
        <w:t>00.000,00   </w:t>
      </w:r>
    </w:p>
    <w:p w14:paraId="45584518" w14:textId="77777777" w:rsidR="0059616E" w:rsidRPr="001E4E40" w:rsidRDefault="0059616E" w:rsidP="0059616E">
      <w:pPr>
        <w:spacing w:after="0" w:line="240" w:lineRule="auto"/>
        <w:rPr>
          <w:rFonts w:eastAsia="Times New Roman" w:cs="Times New Roman"/>
          <w:szCs w:val="20"/>
          <w:lang w:eastAsia="hr-HR"/>
        </w:rPr>
      </w:pPr>
      <w:r w:rsidRPr="001E4E40">
        <w:rPr>
          <w:rFonts w:eastAsia="Times New Roman" w:cs="Times New Roman"/>
          <w:szCs w:val="20"/>
          <w:lang w:eastAsia="hr-HR"/>
        </w:rPr>
        <w:t>OPĆI PRIHODI I PRIMICI: </w:t>
      </w:r>
    </w:p>
    <w:p w14:paraId="665F7E76" w14:textId="33B154A5" w:rsidR="0059616E" w:rsidRPr="001E4E40" w:rsidRDefault="0059616E" w:rsidP="0059616E">
      <w:pPr>
        <w:spacing w:after="0" w:line="240" w:lineRule="auto"/>
        <w:rPr>
          <w:rFonts w:eastAsia="Times New Roman" w:cs="Times New Roman"/>
          <w:sz w:val="24"/>
          <w:lang w:eastAsia="hr-HR"/>
        </w:rPr>
      </w:pPr>
      <w:r w:rsidRPr="001E4E40">
        <w:rPr>
          <w:rFonts w:eastAsia="Times New Roman" w:cs="Times New Roman"/>
          <w:szCs w:val="20"/>
          <w:lang w:eastAsia="hr-HR"/>
        </w:rPr>
        <w:t xml:space="preserve">– podizvor za predfinanciranje EU projekata    </w:t>
      </w:r>
      <w:r w:rsidR="0045552F" w:rsidRPr="001E4E40">
        <w:rPr>
          <w:rFonts w:eastAsia="Times New Roman" w:cs="Times New Roman"/>
          <w:szCs w:val="20"/>
          <w:lang w:eastAsia="hr-HR"/>
        </w:rPr>
        <w:t>4</w:t>
      </w:r>
      <w:r w:rsidRPr="001E4E40">
        <w:rPr>
          <w:rFonts w:eastAsia="Times New Roman" w:cs="Times New Roman"/>
          <w:szCs w:val="20"/>
          <w:lang w:eastAsia="hr-HR"/>
        </w:rPr>
        <w:t>.</w:t>
      </w:r>
      <w:r w:rsidR="0045552F" w:rsidRPr="001E4E40">
        <w:rPr>
          <w:rFonts w:eastAsia="Times New Roman" w:cs="Times New Roman"/>
          <w:szCs w:val="20"/>
          <w:lang w:eastAsia="hr-HR"/>
        </w:rPr>
        <w:t>200.000,00                     4</w:t>
      </w:r>
      <w:r w:rsidRPr="001E4E40">
        <w:rPr>
          <w:rFonts w:eastAsia="Times New Roman" w:cs="Times New Roman"/>
          <w:szCs w:val="20"/>
          <w:lang w:eastAsia="hr-HR"/>
        </w:rPr>
        <w:t>.</w:t>
      </w:r>
      <w:r w:rsidR="0045552F" w:rsidRPr="001E4E40">
        <w:rPr>
          <w:rFonts w:eastAsia="Times New Roman" w:cs="Times New Roman"/>
          <w:szCs w:val="20"/>
          <w:lang w:eastAsia="hr-HR"/>
        </w:rPr>
        <w:t>2</w:t>
      </w:r>
      <w:r w:rsidRPr="001E4E40">
        <w:rPr>
          <w:rFonts w:eastAsia="Times New Roman" w:cs="Times New Roman"/>
          <w:szCs w:val="20"/>
          <w:lang w:eastAsia="hr-HR"/>
        </w:rPr>
        <w:t>00.000,00*</w:t>
      </w:r>
    </w:p>
    <w:p w14:paraId="78835F69" w14:textId="240C153D" w:rsidR="0059616E" w:rsidRPr="001E4E40" w:rsidRDefault="0059616E" w:rsidP="0059616E">
      <w:pPr>
        <w:spacing w:after="0" w:line="240" w:lineRule="auto"/>
        <w:rPr>
          <w:rFonts w:eastAsia="Times New Roman" w:cs="Times New Roman"/>
          <w:sz w:val="24"/>
          <w:lang w:eastAsia="hr-HR"/>
        </w:rPr>
      </w:pPr>
      <w:r w:rsidRPr="001E4E40">
        <w:rPr>
          <w:rFonts w:eastAsia="Times New Roman" w:cs="Times New Roman"/>
          <w:szCs w:val="20"/>
          <w:lang w:eastAsia="hr-HR"/>
        </w:rPr>
        <w:t>–</w:t>
      </w:r>
      <w:r w:rsidRPr="001E4E40">
        <w:rPr>
          <w:rFonts w:eastAsia="Times New Roman" w:cs="Times New Roman"/>
          <w:szCs w:val="20"/>
          <w:u w:val="single"/>
          <w:lang w:eastAsia="hr-HR"/>
        </w:rPr>
        <w:t xml:space="preserve">  podizvor opći prihodi i primici                   </w:t>
      </w:r>
      <w:r w:rsidR="0087328B" w:rsidRPr="001E4E40">
        <w:rPr>
          <w:rFonts w:eastAsia="Times New Roman" w:cs="Times New Roman"/>
          <w:szCs w:val="20"/>
          <w:u w:val="single"/>
          <w:lang w:eastAsia="hr-HR"/>
        </w:rPr>
        <w:t xml:space="preserve">   </w:t>
      </w:r>
      <w:r w:rsidRPr="001E4E40">
        <w:rPr>
          <w:rFonts w:eastAsia="Times New Roman" w:cs="Times New Roman"/>
          <w:szCs w:val="20"/>
          <w:u w:val="single"/>
          <w:lang w:eastAsia="hr-HR"/>
        </w:rPr>
        <w:t>   4.</w:t>
      </w:r>
      <w:r w:rsidR="0045552F" w:rsidRPr="001E4E40">
        <w:rPr>
          <w:rFonts w:eastAsia="Times New Roman" w:cs="Times New Roman"/>
          <w:szCs w:val="20"/>
          <w:u w:val="single"/>
          <w:lang w:eastAsia="hr-HR"/>
        </w:rPr>
        <w:t>0</w:t>
      </w:r>
      <w:r w:rsidRPr="001E4E40">
        <w:rPr>
          <w:rFonts w:eastAsia="Times New Roman" w:cs="Times New Roman"/>
          <w:szCs w:val="20"/>
          <w:u w:val="single"/>
          <w:lang w:eastAsia="hr-HR"/>
        </w:rPr>
        <w:t>00.000,00                     4.</w:t>
      </w:r>
      <w:r w:rsidR="0045552F" w:rsidRPr="001E4E40">
        <w:rPr>
          <w:rFonts w:eastAsia="Times New Roman" w:cs="Times New Roman"/>
          <w:szCs w:val="20"/>
          <w:u w:val="single"/>
          <w:lang w:eastAsia="hr-HR"/>
        </w:rPr>
        <w:t>0</w:t>
      </w:r>
      <w:r w:rsidRPr="001E4E40">
        <w:rPr>
          <w:rFonts w:eastAsia="Times New Roman" w:cs="Times New Roman"/>
          <w:szCs w:val="20"/>
          <w:u w:val="single"/>
          <w:lang w:eastAsia="hr-HR"/>
        </w:rPr>
        <w:t>00.000,00</w:t>
      </w:r>
    </w:p>
    <w:p w14:paraId="62F04A96" w14:textId="20F443B0" w:rsidR="0059616E" w:rsidRPr="001E4E40" w:rsidRDefault="0059616E" w:rsidP="0059616E">
      <w:pPr>
        <w:spacing w:after="0" w:line="240" w:lineRule="auto"/>
        <w:rPr>
          <w:rFonts w:eastAsia="Times New Roman" w:cs="Times New Roman"/>
          <w:szCs w:val="20"/>
          <w:lang w:eastAsia="hr-HR"/>
        </w:rPr>
      </w:pPr>
      <w:r w:rsidRPr="001E4E40">
        <w:rPr>
          <w:rFonts w:eastAsia="Times New Roman" w:cs="Times New Roman"/>
          <w:szCs w:val="20"/>
          <w:lang w:eastAsia="hr-HR"/>
        </w:rPr>
        <w:t>                                                                  </w:t>
      </w:r>
      <w:r w:rsidR="0045552F" w:rsidRPr="001E4E40">
        <w:rPr>
          <w:rFonts w:eastAsia="Times New Roman" w:cs="Times New Roman"/>
          <w:szCs w:val="20"/>
          <w:lang w:eastAsia="hr-HR"/>
        </w:rPr>
        <w:t xml:space="preserve"> </w:t>
      </w:r>
      <w:r w:rsidR="0087328B" w:rsidRPr="001E4E40">
        <w:rPr>
          <w:rFonts w:eastAsia="Times New Roman" w:cs="Times New Roman"/>
          <w:szCs w:val="20"/>
          <w:lang w:eastAsia="hr-HR"/>
        </w:rPr>
        <w:t xml:space="preserve">           </w:t>
      </w:r>
      <w:r w:rsidRPr="001E4E40">
        <w:rPr>
          <w:rFonts w:eastAsia="Times New Roman" w:cs="Times New Roman"/>
          <w:szCs w:val="20"/>
          <w:lang w:eastAsia="hr-HR"/>
        </w:rPr>
        <w:t>  1</w:t>
      </w:r>
      <w:r w:rsidR="0045552F" w:rsidRPr="001E4E40">
        <w:rPr>
          <w:rFonts w:eastAsia="Times New Roman" w:cs="Times New Roman"/>
          <w:szCs w:val="20"/>
          <w:lang w:eastAsia="hr-HR"/>
        </w:rPr>
        <w:t>0</w:t>
      </w:r>
      <w:r w:rsidRPr="001E4E40">
        <w:rPr>
          <w:rFonts w:eastAsia="Times New Roman" w:cs="Times New Roman"/>
          <w:szCs w:val="20"/>
          <w:lang w:eastAsia="hr-HR"/>
        </w:rPr>
        <w:t>.000.000,00                    1</w:t>
      </w:r>
      <w:r w:rsidR="0045552F" w:rsidRPr="001E4E40">
        <w:rPr>
          <w:rFonts w:eastAsia="Times New Roman" w:cs="Times New Roman"/>
          <w:szCs w:val="20"/>
          <w:lang w:eastAsia="hr-HR"/>
        </w:rPr>
        <w:t>0</w:t>
      </w:r>
      <w:r w:rsidRPr="001E4E40">
        <w:rPr>
          <w:rFonts w:eastAsia="Times New Roman" w:cs="Times New Roman"/>
          <w:szCs w:val="20"/>
          <w:lang w:eastAsia="hr-HR"/>
        </w:rPr>
        <w:t>.000.000,00 </w:t>
      </w:r>
    </w:p>
    <w:p w14:paraId="376A37AE" w14:textId="77777777" w:rsidR="0059616E" w:rsidRPr="00117ECF" w:rsidRDefault="0059616E" w:rsidP="00117ECF">
      <w:pPr>
        <w:spacing w:after="0" w:line="240" w:lineRule="auto"/>
        <w:jc w:val="both"/>
        <w:rPr>
          <w:sz w:val="16"/>
          <w:lang w:eastAsia="hr-HR"/>
        </w:rPr>
      </w:pPr>
    </w:p>
    <w:p w14:paraId="00E6EA3A" w14:textId="0D801292" w:rsidR="0059616E" w:rsidRPr="001E4E40" w:rsidRDefault="0059616E" w:rsidP="00185AFC">
      <w:pPr>
        <w:spacing w:after="0" w:line="240" w:lineRule="auto"/>
        <w:jc w:val="both"/>
        <w:rPr>
          <w:rFonts w:eastAsia="Times New Roman" w:cs="Times New Roman"/>
          <w:szCs w:val="20"/>
          <w:lang w:eastAsia="hr-HR"/>
        </w:rPr>
      </w:pPr>
      <w:r w:rsidRPr="001E4E40">
        <w:rPr>
          <w:rFonts w:eastAsia="Times New Roman" w:cs="Times New Roman"/>
          <w:szCs w:val="20"/>
          <w:lang w:eastAsia="hr-HR"/>
        </w:rPr>
        <w:t xml:space="preserve">*u prvoj godini kada se financira provedba projekta iz sredstava </w:t>
      </w:r>
      <w:r w:rsidR="00185AFC" w:rsidRPr="001E4E40">
        <w:rPr>
          <w:rFonts w:eastAsia="Times New Roman" w:cs="Times New Roman"/>
          <w:szCs w:val="20"/>
          <w:lang w:eastAsia="hr-HR"/>
        </w:rPr>
        <w:t>Općine</w:t>
      </w:r>
      <w:r w:rsidRPr="001E4E40">
        <w:rPr>
          <w:rFonts w:eastAsia="Times New Roman" w:cs="Times New Roman"/>
          <w:szCs w:val="20"/>
          <w:lang w:eastAsia="hr-HR"/>
        </w:rPr>
        <w:t xml:space="preserve">, podizvor „pune“ opći prihodi i primici (dakle, na njemu se ne planiraju izravne pomoći od EU </w:t>
      </w:r>
      <w:r w:rsidR="002C73CD">
        <w:rPr>
          <w:rFonts w:eastAsia="Times New Roman" w:cs="Times New Roman"/>
          <w:szCs w:val="20"/>
          <w:lang w:eastAsia="hr-HR"/>
        </w:rPr>
        <w:t>–</w:t>
      </w:r>
      <w:r w:rsidRPr="001E4E40">
        <w:rPr>
          <w:rFonts w:eastAsia="Times New Roman" w:cs="Times New Roman"/>
          <w:szCs w:val="20"/>
          <w:lang w:eastAsia="hr-HR"/>
        </w:rPr>
        <w:t xml:space="preserve"> 632 </w:t>
      </w:r>
      <w:r w:rsidR="002C73CD">
        <w:rPr>
          <w:rFonts w:eastAsia="Times New Roman" w:cs="Times New Roman"/>
          <w:szCs w:val="20"/>
          <w:lang w:eastAsia="hr-HR"/>
        </w:rPr>
        <w:t>–</w:t>
      </w:r>
      <w:r w:rsidRPr="001E4E40">
        <w:rPr>
          <w:rFonts w:eastAsia="Times New Roman" w:cs="Times New Roman"/>
          <w:szCs w:val="20"/>
          <w:lang w:eastAsia="hr-HR"/>
        </w:rPr>
        <w:t xml:space="preserve"> ni pomoći EU temeljem prijenosa iz državnog proračuna </w:t>
      </w:r>
      <w:r w:rsidR="002C73CD">
        <w:rPr>
          <w:rFonts w:eastAsia="Times New Roman" w:cs="Times New Roman"/>
          <w:szCs w:val="20"/>
          <w:lang w:eastAsia="hr-HR"/>
        </w:rPr>
        <w:t>–</w:t>
      </w:r>
      <w:r w:rsidRPr="001E4E40">
        <w:rPr>
          <w:rFonts w:eastAsia="Times New Roman" w:cs="Times New Roman"/>
          <w:szCs w:val="20"/>
          <w:lang w:eastAsia="hr-HR"/>
        </w:rPr>
        <w:t xml:space="preserve"> 638)</w:t>
      </w:r>
    </w:p>
    <w:p w14:paraId="35B468A5" w14:textId="77777777" w:rsidR="0059616E" w:rsidRPr="001E4E40" w:rsidRDefault="0059616E" w:rsidP="00185AFC">
      <w:pPr>
        <w:spacing w:after="0" w:line="240" w:lineRule="auto"/>
        <w:jc w:val="both"/>
        <w:rPr>
          <w:rFonts w:eastAsia="Times New Roman" w:cs="Times New Roman"/>
          <w:szCs w:val="20"/>
          <w:lang w:eastAsia="hr-HR"/>
        </w:rPr>
      </w:pPr>
    </w:p>
    <w:p w14:paraId="02DE654F" w14:textId="269E2FC6" w:rsidR="00185AFC" w:rsidRPr="001E4E40" w:rsidRDefault="0059616E" w:rsidP="00185AFC">
      <w:pPr>
        <w:spacing w:after="0" w:line="240" w:lineRule="auto"/>
        <w:rPr>
          <w:rFonts w:eastAsia="Times New Roman" w:cs="Times New Roman"/>
          <w:b/>
          <w:sz w:val="24"/>
          <w:lang w:eastAsia="hr-HR"/>
        </w:rPr>
      </w:pPr>
      <w:r w:rsidRPr="001E4E40">
        <w:rPr>
          <w:rFonts w:eastAsia="Times New Roman" w:cs="Times New Roman"/>
          <w:b/>
          <w:szCs w:val="20"/>
          <w:lang w:eastAsia="hr-HR"/>
        </w:rPr>
        <w:lastRenderedPageBreak/>
        <w:t>RASHODI</w:t>
      </w:r>
      <w:r w:rsidR="00185AFC" w:rsidRPr="001E4E40">
        <w:rPr>
          <w:rFonts w:eastAsia="Times New Roman" w:cs="Times New Roman"/>
          <w:szCs w:val="20"/>
          <w:lang w:eastAsia="hr-HR"/>
        </w:rPr>
        <w:t>                                                      </w:t>
      </w:r>
      <w:r w:rsidR="0087328B" w:rsidRPr="001E4E40">
        <w:rPr>
          <w:rFonts w:eastAsia="Times New Roman" w:cs="Times New Roman"/>
          <w:szCs w:val="20"/>
          <w:lang w:eastAsia="hr-HR"/>
        </w:rPr>
        <w:t xml:space="preserve">       </w:t>
      </w:r>
      <w:r w:rsidR="00185AFC" w:rsidRPr="001E4E40">
        <w:rPr>
          <w:rFonts w:eastAsia="Times New Roman" w:cs="Times New Roman"/>
          <w:szCs w:val="20"/>
          <w:lang w:eastAsia="hr-HR"/>
        </w:rPr>
        <w:t xml:space="preserve">       </w:t>
      </w:r>
      <w:r w:rsidR="00185AFC" w:rsidRPr="001E4E40">
        <w:rPr>
          <w:rFonts w:eastAsia="Times New Roman" w:cs="Times New Roman"/>
          <w:b/>
          <w:szCs w:val="20"/>
          <w:lang w:eastAsia="hr-HR"/>
        </w:rPr>
        <w:t>plan                               </w:t>
      </w:r>
      <w:r w:rsidR="0087328B" w:rsidRPr="001E4E40">
        <w:rPr>
          <w:rFonts w:eastAsia="Times New Roman" w:cs="Times New Roman"/>
          <w:b/>
          <w:szCs w:val="20"/>
          <w:lang w:eastAsia="hr-HR"/>
        </w:rPr>
        <w:t xml:space="preserve">  </w:t>
      </w:r>
      <w:r w:rsidR="00185AFC" w:rsidRPr="001E4E40">
        <w:rPr>
          <w:rFonts w:eastAsia="Times New Roman" w:cs="Times New Roman"/>
          <w:b/>
          <w:szCs w:val="20"/>
          <w:lang w:eastAsia="hr-HR"/>
        </w:rPr>
        <w:t>    izvršenje</w:t>
      </w:r>
    </w:p>
    <w:p w14:paraId="7E560D32" w14:textId="40DDD60A" w:rsidR="0059616E" w:rsidRPr="001E4E40" w:rsidRDefault="000E6DD1" w:rsidP="0059616E">
      <w:pPr>
        <w:spacing w:after="0" w:line="240" w:lineRule="auto"/>
        <w:rPr>
          <w:rFonts w:eastAsia="Times New Roman" w:cs="Times New Roman"/>
          <w:sz w:val="24"/>
          <w:lang w:eastAsia="hr-HR"/>
        </w:rPr>
      </w:pPr>
      <w:r>
        <w:rPr>
          <w:rFonts w:eastAsia="Times New Roman" w:cs="Times New Roman"/>
          <w:szCs w:val="20"/>
          <w:lang w:eastAsia="hr-HR"/>
        </w:rPr>
        <w:t>PROJEKT</w:t>
      </w:r>
      <w:r w:rsidR="0059616E" w:rsidRPr="001E4E40">
        <w:rPr>
          <w:rFonts w:eastAsia="Times New Roman" w:cs="Times New Roman"/>
          <w:szCs w:val="20"/>
          <w:lang w:eastAsia="hr-HR"/>
        </w:rPr>
        <w:t xml:space="preserve"> U PRORAČUNU KXXXXXX    DOGRADNJA DJEČJEG VRTIĆA</w:t>
      </w:r>
    </w:p>
    <w:p w14:paraId="670B32AC" w14:textId="1D9B995F" w:rsidR="0059616E" w:rsidRPr="001E4E40" w:rsidRDefault="0059616E" w:rsidP="0059616E">
      <w:pPr>
        <w:spacing w:after="0" w:line="240" w:lineRule="auto"/>
        <w:rPr>
          <w:rFonts w:eastAsia="Times New Roman" w:cs="Times New Roman"/>
          <w:sz w:val="24"/>
          <w:lang w:eastAsia="hr-HR"/>
        </w:rPr>
      </w:pPr>
      <w:r w:rsidRPr="001E4E40">
        <w:rPr>
          <w:rFonts w:eastAsia="Times New Roman" w:cs="Times New Roman"/>
          <w:szCs w:val="20"/>
          <w:lang w:eastAsia="hr-HR"/>
        </w:rPr>
        <w:t>POMOĆI                                                    </w:t>
      </w:r>
      <w:r w:rsidR="0087328B" w:rsidRPr="001E4E40">
        <w:rPr>
          <w:rFonts w:eastAsia="Times New Roman" w:cs="Times New Roman"/>
          <w:szCs w:val="20"/>
          <w:lang w:eastAsia="hr-HR"/>
        </w:rPr>
        <w:t xml:space="preserve">          </w:t>
      </w:r>
      <w:r w:rsidRPr="001E4E40">
        <w:rPr>
          <w:rFonts w:eastAsia="Times New Roman" w:cs="Times New Roman"/>
          <w:szCs w:val="20"/>
          <w:lang w:eastAsia="hr-HR"/>
        </w:rPr>
        <w:t xml:space="preserve">     </w:t>
      </w:r>
      <w:r w:rsidR="00185AFC" w:rsidRPr="001E4E40">
        <w:rPr>
          <w:rFonts w:eastAsia="Times New Roman" w:cs="Times New Roman"/>
          <w:szCs w:val="20"/>
          <w:lang w:eastAsia="hr-HR"/>
        </w:rPr>
        <w:t>1.800</w:t>
      </w:r>
      <w:r w:rsidRPr="001E4E40">
        <w:rPr>
          <w:rFonts w:eastAsia="Times New Roman" w:cs="Times New Roman"/>
          <w:szCs w:val="20"/>
          <w:lang w:eastAsia="hr-HR"/>
        </w:rPr>
        <w:t xml:space="preserve">.000,00                     </w:t>
      </w:r>
      <w:r w:rsidR="00185AFC" w:rsidRPr="001E4E40">
        <w:rPr>
          <w:rFonts w:eastAsia="Times New Roman" w:cs="Times New Roman"/>
          <w:szCs w:val="20"/>
          <w:lang w:eastAsia="hr-HR"/>
        </w:rPr>
        <w:t>1.800</w:t>
      </w:r>
      <w:r w:rsidRPr="001E4E40">
        <w:rPr>
          <w:rFonts w:eastAsia="Times New Roman" w:cs="Times New Roman"/>
          <w:szCs w:val="20"/>
          <w:lang w:eastAsia="hr-HR"/>
        </w:rPr>
        <w:t>.000,00</w:t>
      </w:r>
    </w:p>
    <w:p w14:paraId="33A3D4E4" w14:textId="77777777" w:rsidR="0059616E" w:rsidRPr="001E4E40" w:rsidRDefault="0059616E" w:rsidP="0059616E">
      <w:pPr>
        <w:spacing w:after="0" w:line="240" w:lineRule="auto"/>
        <w:rPr>
          <w:rFonts w:eastAsia="Times New Roman" w:cs="Times New Roman"/>
          <w:szCs w:val="20"/>
          <w:lang w:eastAsia="hr-HR"/>
        </w:rPr>
      </w:pPr>
      <w:r w:rsidRPr="001E4E40">
        <w:rPr>
          <w:rFonts w:eastAsia="Times New Roman" w:cs="Times New Roman"/>
          <w:szCs w:val="20"/>
          <w:lang w:eastAsia="hr-HR"/>
        </w:rPr>
        <w:t>OPĆI PRIHODI I PRIMICI: </w:t>
      </w:r>
    </w:p>
    <w:p w14:paraId="0155ED0F" w14:textId="648F04FC" w:rsidR="00185AFC" w:rsidRPr="001E4E40" w:rsidRDefault="0059616E" w:rsidP="00185AFC">
      <w:pPr>
        <w:spacing w:after="0" w:line="240" w:lineRule="auto"/>
        <w:rPr>
          <w:rFonts w:eastAsia="Times New Roman" w:cs="Times New Roman"/>
          <w:sz w:val="24"/>
          <w:lang w:eastAsia="hr-HR"/>
        </w:rPr>
      </w:pPr>
      <w:r w:rsidRPr="001E4E40">
        <w:rPr>
          <w:rFonts w:eastAsia="Times New Roman" w:cs="Times New Roman"/>
          <w:szCs w:val="20"/>
          <w:lang w:eastAsia="hr-HR"/>
        </w:rPr>
        <w:t xml:space="preserve">– podizvor za predfinanciranje EU projekata    </w:t>
      </w:r>
      <w:r w:rsidR="00185AFC" w:rsidRPr="001E4E40">
        <w:rPr>
          <w:rFonts w:eastAsia="Times New Roman" w:cs="Times New Roman"/>
          <w:szCs w:val="20"/>
          <w:lang w:eastAsia="hr-HR"/>
        </w:rPr>
        <w:t>4.200.000,00                     4.200.000,00</w:t>
      </w:r>
    </w:p>
    <w:p w14:paraId="58740867" w14:textId="75578E33" w:rsidR="00185AFC" w:rsidRPr="001E4E40" w:rsidRDefault="00185AFC" w:rsidP="00185AFC">
      <w:pPr>
        <w:spacing w:after="0" w:line="240" w:lineRule="auto"/>
        <w:rPr>
          <w:rFonts w:eastAsia="Times New Roman" w:cs="Times New Roman"/>
          <w:sz w:val="24"/>
          <w:lang w:eastAsia="hr-HR"/>
        </w:rPr>
      </w:pPr>
      <w:r w:rsidRPr="001E4E40">
        <w:rPr>
          <w:rFonts w:eastAsia="Times New Roman" w:cs="Times New Roman"/>
          <w:szCs w:val="20"/>
          <w:lang w:eastAsia="hr-HR"/>
        </w:rPr>
        <w:t>–</w:t>
      </w:r>
      <w:r w:rsidRPr="001E4E40">
        <w:rPr>
          <w:rFonts w:eastAsia="Times New Roman" w:cs="Times New Roman"/>
          <w:szCs w:val="20"/>
          <w:u w:val="single"/>
          <w:lang w:eastAsia="hr-HR"/>
        </w:rPr>
        <w:t xml:space="preserve">  podizvor opći prihodi i primici                   </w:t>
      </w:r>
      <w:r w:rsidR="0087328B" w:rsidRPr="001E4E40">
        <w:rPr>
          <w:rFonts w:eastAsia="Times New Roman" w:cs="Times New Roman"/>
          <w:szCs w:val="20"/>
          <w:u w:val="single"/>
          <w:lang w:eastAsia="hr-HR"/>
        </w:rPr>
        <w:t xml:space="preserve">   </w:t>
      </w:r>
      <w:r w:rsidRPr="001E4E40">
        <w:rPr>
          <w:rFonts w:eastAsia="Times New Roman" w:cs="Times New Roman"/>
          <w:szCs w:val="20"/>
          <w:u w:val="single"/>
          <w:lang w:eastAsia="hr-HR"/>
        </w:rPr>
        <w:t>   4.000.000,00                     4.000.000,00</w:t>
      </w:r>
    </w:p>
    <w:p w14:paraId="45E233D0" w14:textId="3AF73FAD" w:rsidR="0059616E" w:rsidRPr="001E4E40" w:rsidRDefault="00185AFC" w:rsidP="00185AFC">
      <w:pPr>
        <w:spacing w:after="0" w:line="240" w:lineRule="auto"/>
        <w:rPr>
          <w:rFonts w:eastAsia="Times New Roman" w:cs="Times New Roman"/>
          <w:szCs w:val="20"/>
          <w:lang w:eastAsia="hr-HR"/>
        </w:rPr>
      </w:pPr>
      <w:r w:rsidRPr="001E4E40">
        <w:rPr>
          <w:rFonts w:eastAsia="Times New Roman" w:cs="Times New Roman"/>
          <w:szCs w:val="20"/>
          <w:lang w:eastAsia="hr-HR"/>
        </w:rPr>
        <w:t>                                                             </w:t>
      </w:r>
      <w:r w:rsidR="0087328B" w:rsidRPr="001E4E40">
        <w:rPr>
          <w:rFonts w:eastAsia="Times New Roman" w:cs="Times New Roman"/>
          <w:szCs w:val="20"/>
          <w:lang w:eastAsia="hr-HR"/>
        </w:rPr>
        <w:t xml:space="preserve">           </w:t>
      </w:r>
      <w:r w:rsidRPr="001E4E40">
        <w:rPr>
          <w:rFonts w:eastAsia="Times New Roman" w:cs="Times New Roman"/>
          <w:szCs w:val="20"/>
          <w:lang w:eastAsia="hr-HR"/>
        </w:rPr>
        <w:t>        10.000.000,00                    10.000.000,00</w:t>
      </w:r>
    </w:p>
    <w:p w14:paraId="3DA57D8F" w14:textId="77777777" w:rsidR="00185AFC" w:rsidRPr="001143DB" w:rsidRDefault="00185AFC" w:rsidP="00185AFC">
      <w:pPr>
        <w:spacing w:after="0" w:line="240" w:lineRule="auto"/>
        <w:rPr>
          <w:rFonts w:eastAsia="Times New Roman" w:cs="Times New Roman"/>
          <w:sz w:val="24"/>
          <w:szCs w:val="20"/>
          <w:lang w:eastAsia="hr-HR"/>
        </w:rPr>
      </w:pPr>
    </w:p>
    <w:p w14:paraId="07674ADC" w14:textId="26DD5B60" w:rsidR="001143DB" w:rsidRPr="001143DB" w:rsidRDefault="001143DB" w:rsidP="001143DB">
      <w:pPr>
        <w:spacing w:after="0" w:line="240" w:lineRule="auto"/>
        <w:jc w:val="both"/>
        <w:rPr>
          <w:rFonts w:eastAsia="Times New Roman" w:cs="Times New Roman"/>
          <w:sz w:val="24"/>
          <w:szCs w:val="20"/>
          <w:lang w:eastAsia="hr-HR"/>
        </w:rPr>
      </w:pPr>
      <w:r>
        <w:rPr>
          <w:rFonts w:eastAsia="Times New Roman" w:cs="Times New Roman"/>
          <w:sz w:val="24"/>
          <w:szCs w:val="20"/>
          <w:lang w:eastAsia="hr-HR"/>
        </w:rPr>
        <w:t xml:space="preserve">U 2020. godini kada stiže refundacija, iznos od 4,2 milijuna kuna jedinica će u knjigovodstvenim evidencijama iskazati na </w:t>
      </w:r>
      <w:r w:rsidRPr="001143DB">
        <w:rPr>
          <w:rFonts w:eastAsia="Times New Roman" w:cs="Times New Roman"/>
          <w:sz w:val="24"/>
          <w:szCs w:val="20"/>
          <w:lang w:eastAsia="hr-HR"/>
        </w:rPr>
        <w:t>izravn</w:t>
      </w:r>
      <w:r>
        <w:rPr>
          <w:rFonts w:eastAsia="Times New Roman" w:cs="Times New Roman"/>
          <w:sz w:val="24"/>
          <w:szCs w:val="20"/>
          <w:lang w:eastAsia="hr-HR"/>
        </w:rPr>
        <w:t>im</w:t>
      </w:r>
      <w:r w:rsidRPr="001143DB">
        <w:rPr>
          <w:rFonts w:eastAsia="Times New Roman" w:cs="Times New Roman"/>
          <w:sz w:val="24"/>
          <w:szCs w:val="20"/>
          <w:lang w:eastAsia="hr-HR"/>
        </w:rPr>
        <w:t xml:space="preserve"> pomoći</w:t>
      </w:r>
      <w:r>
        <w:rPr>
          <w:rFonts w:eastAsia="Times New Roman" w:cs="Times New Roman"/>
          <w:sz w:val="24"/>
          <w:szCs w:val="20"/>
          <w:lang w:eastAsia="hr-HR"/>
        </w:rPr>
        <w:t>ma</w:t>
      </w:r>
      <w:r w:rsidRPr="001143DB">
        <w:rPr>
          <w:rFonts w:eastAsia="Times New Roman" w:cs="Times New Roman"/>
          <w:sz w:val="24"/>
          <w:szCs w:val="20"/>
          <w:lang w:eastAsia="hr-HR"/>
        </w:rPr>
        <w:t xml:space="preserve"> od EU </w:t>
      </w:r>
      <w:r>
        <w:rPr>
          <w:rFonts w:eastAsia="Times New Roman" w:cs="Times New Roman"/>
          <w:sz w:val="24"/>
          <w:szCs w:val="20"/>
          <w:lang w:eastAsia="hr-HR"/>
        </w:rPr>
        <w:t xml:space="preserve">(podskupina </w:t>
      </w:r>
      <w:r w:rsidRPr="001143DB">
        <w:rPr>
          <w:rFonts w:eastAsia="Times New Roman" w:cs="Times New Roman"/>
          <w:sz w:val="24"/>
          <w:szCs w:val="20"/>
          <w:lang w:eastAsia="hr-HR"/>
        </w:rPr>
        <w:t>632</w:t>
      </w:r>
      <w:r>
        <w:rPr>
          <w:rFonts w:eastAsia="Times New Roman" w:cs="Times New Roman"/>
          <w:sz w:val="24"/>
          <w:szCs w:val="20"/>
          <w:lang w:eastAsia="hr-HR"/>
        </w:rPr>
        <w:t>) il</w:t>
      </w:r>
      <w:r w:rsidRPr="001143DB">
        <w:rPr>
          <w:rFonts w:eastAsia="Times New Roman" w:cs="Times New Roman"/>
          <w:sz w:val="24"/>
          <w:szCs w:val="20"/>
          <w:lang w:eastAsia="hr-HR"/>
        </w:rPr>
        <w:t xml:space="preserve">i </w:t>
      </w:r>
      <w:r>
        <w:rPr>
          <w:rFonts w:eastAsia="Times New Roman" w:cs="Times New Roman"/>
          <w:sz w:val="24"/>
          <w:szCs w:val="20"/>
          <w:lang w:eastAsia="hr-HR"/>
        </w:rPr>
        <w:t xml:space="preserve">na </w:t>
      </w:r>
      <w:r w:rsidRPr="001143DB">
        <w:rPr>
          <w:rFonts w:eastAsia="Times New Roman" w:cs="Times New Roman"/>
          <w:sz w:val="24"/>
          <w:szCs w:val="20"/>
          <w:lang w:eastAsia="hr-HR"/>
        </w:rPr>
        <w:t>pomoći</w:t>
      </w:r>
      <w:r>
        <w:rPr>
          <w:rFonts w:eastAsia="Times New Roman" w:cs="Times New Roman"/>
          <w:sz w:val="24"/>
          <w:szCs w:val="20"/>
          <w:lang w:eastAsia="hr-HR"/>
        </w:rPr>
        <w:t>ma</w:t>
      </w:r>
      <w:r w:rsidRPr="001143DB">
        <w:rPr>
          <w:rFonts w:eastAsia="Times New Roman" w:cs="Times New Roman"/>
          <w:sz w:val="24"/>
          <w:szCs w:val="20"/>
          <w:lang w:eastAsia="hr-HR"/>
        </w:rPr>
        <w:t xml:space="preserve"> EU temeljem prijenosa iz državnog proračuna </w:t>
      </w:r>
      <w:r>
        <w:rPr>
          <w:rFonts w:eastAsia="Times New Roman" w:cs="Times New Roman"/>
          <w:sz w:val="24"/>
          <w:szCs w:val="20"/>
          <w:lang w:eastAsia="hr-HR"/>
        </w:rPr>
        <w:t>(podskupina</w:t>
      </w:r>
      <w:r w:rsidRPr="001143DB">
        <w:rPr>
          <w:rFonts w:eastAsia="Times New Roman" w:cs="Times New Roman"/>
          <w:sz w:val="24"/>
          <w:szCs w:val="20"/>
          <w:lang w:eastAsia="hr-HR"/>
        </w:rPr>
        <w:t xml:space="preserve"> 638</w:t>
      </w:r>
      <w:r>
        <w:rPr>
          <w:rFonts w:eastAsia="Times New Roman" w:cs="Times New Roman"/>
          <w:sz w:val="24"/>
          <w:szCs w:val="20"/>
          <w:lang w:eastAsia="hr-HR"/>
        </w:rPr>
        <w:t>) i na isti način planirati u proračunu, u okviru izvora iz kojeg je predfinanciran projekt. Iz sredstava refundacije se mogu financirati aktivnosti/projekti nevezani uz dogradnju dječjeg vrtića.</w:t>
      </w:r>
      <w:r w:rsidR="00E46B82">
        <w:rPr>
          <w:rFonts w:eastAsia="Times New Roman" w:cs="Times New Roman"/>
          <w:sz w:val="24"/>
          <w:szCs w:val="20"/>
          <w:lang w:eastAsia="hr-HR"/>
        </w:rPr>
        <w:t xml:space="preserve"> Ako jedinica ili proračunski korisnik financiranje osigurava iz drug</w:t>
      </w:r>
      <w:r w:rsidR="00E05F5E">
        <w:rPr>
          <w:rFonts w:eastAsia="Times New Roman" w:cs="Times New Roman"/>
          <w:sz w:val="24"/>
          <w:szCs w:val="20"/>
          <w:lang w:eastAsia="hr-HR"/>
        </w:rPr>
        <w:t>og</w:t>
      </w:r>
      <w:r w:rsidR="00E46B82">
        <w:rPr>
          <w:rFonts w:eastAsia="Times New Roman" w:cs="Times New Roman"/>
          <w:sz w:val="24"/>
          <w:szCs w:val="20"/>
          <w:lang w:eastAsia="hr-HR"/>
        </w:rPr>
        <w:t xml:space="preserve"> izvora</w:t>
      </w:r>
      <w:r w:rsidR="00E05F5E">
        <w:rPr>
          <w:rFonts w:eastAsia="Times New Roman" w:cs="Times New Roman"/>
          <w:sz w:val="24"/>
          <w:szCs w:val="20"/>
          <w:lang w:eastAsia="hr-HR"/>
        </w:rPr>
        <w:t xml:space="preserve"> (primjerice vlastiti izvor ili namjenski prihodi) tada u tom izvoru treba otvoriti podizvor za predfinanciranje. </w:t>
      </w:r>
    </w:p>
    <w:p w14:paraId="20AF836F" w14:textId="77777777" w:rsidR="001143DB" w:rsidRPr="001143DB" w:rsidRDefault="001143DB" w:rsidP="00185AFC">
      <w:pPr>
        <w:spacing w:after="0" w:line="240" w:lineRule="auto"/>
        <w:rPr>
          <w:rFonts w:eastAsia="Times New Roman" w:cs="Times New Roman"/>
          <w:sz w:val="24"/>
          <w:szCs w:val="20"/>
          <w:lang w:eastAsia="hr-HR"/>
        </w:rPr>
      </w:pPr>
    </w:p>
    <w:p w14:paraId="085204EE" w14:textId="77777777" w:rsidR="001143DB" w:rsidRPr="001143DB" w:rsidRDefault="001143DB" w:rsidP="00185AFC">
      <w:pPr>
        <w:spacing w:after="0" w:line="240" w:lineRule="auto"/>
        <w:rPr>
          <w:rFonts w:eastAsia="Times New Roman" w:cs="Times New Roman"/>
          <w:sz w:val="24"/>
          <w:szCs w:val="20"/>
          <w:lang w:eastAsia="hr-HR"/>
        </w:rPr>
      </w:pPr>
    </w:p>
    <w:p w14:paraId="75A7A49D" w14:textId="5B763BD8" w:rsidR="0059616E" w:rsidRPr="001E4E40" w:rsidRDefault="0059616E" w:rsidP="00012A69">
      <w:pPr>
        <w:keepNext/>
        <w:keepLines/>
        <w:numPr>
          <w:ilvl w:val="1"/>
          <w:numId w:val="2"/>
        </w:numPr>
        <w:spacing w:after="0" w:line="240" w:lineRule="auto"/>
        <w:ind w:left="1077"/>
        <w:jc w:val="both"/>
        <w:outlineLvl w:val="1"/>
        <w:rPr>
          <w:rFonts w:eastAsiaTheme="majorEastAsia" w:cstheme="majorBidi"/>
          <w:b/>
          <w:bCs/>
          <w:sz w:val="24"/>
          <w:szCs w:val="24"/>
          <w:lang w:eastAsia="hr-HR"/>
        </w:rPr>
      </w:pPr>
      <w:bookmarkStart w:id="14" w:name="_Toc18594173"/>
      <w:r w:rsidRPr="001E4E40">
        <w:rPr>
          <w:rFonts w:eastAsiaTheme="majorEastAsia" w:cstheme="majorBidi"/>
          <w:b/>
          <w:bCs/>
          <w:sz w:val="24"/>
          <w:szCs w:val="24"/>
          <w:lang w:eastAsia="hr-HR"/>
        </w:rPr>
        <w:t xml:space="preserve">Planiranje kratkoročnog </w:t>
      </w:r>
      <w:r w:rsidR="009478EF" w:rsidRPr="001E4E40">
        <w:rPr>
          <w:rFonts w:eastAsiaTheme="majorEastAsia" w:cstheme="majorBidi"/>
          <w:b/>
          <w:bCs/>
          <w:sz w:val="24"/>
          <w:szCs w:val="24"/>
          <w:lang w:eastAsia="hr-HR"/>
        </w:rPr>
        <w:t xml:space="preserve">kredita i </w:t>
      </w:r>
      <w:r w:rsidRPr="001E4E40">
        <w:rPr>
          <w:rFonts w:eastAsiaTheme="majorEastAsia" w:cstheme="majorBidi"/>
          <w:b/>
          <w:bCs/>
          <w:sz w:val="24"/>
          <w:szCs w:val="24"/>
          <w:lang w:eastAsia="hr-HR"/>
        </w:rPr>
        <w:t>zajma koji prelazi u sljedeću godinu</w:t>
      </w:r>
      <w:bookmarkEnd w:id="14"/>
      <w:r w:rsidRPr="001E4E40">
        <w:rPr>
          <w:rFonts w:eastAsiaTheme="majorEastAsia" w:cstheme="majorBidi"/>
          <w:b/>
          <w:bCs/>
          <w:sz w:val="24"/>
          <w:szCs w:val="24"/>
          <w:lang w:eastAsia="hr-HR"/>
        </w:rPr>
        <w:t xml:space="preserve"> </w:t>
      </w:r>
    </w:p>
    <w:p w14:paraId="3B63025D" w14:textId="77777777" w:rsidR="0059616E" w:rsidRPr="001E4E40" w:rsidRDefault="0059616E" w:rsidP="00012A69">
      <w:pPr>
        <w:pStyle w:val="ListParagraph"/>
        <w:keepNext/>
        <w:ind w:left="1077"/>
        <w:rPr>
          <w:rFonts w:eastAsiaTheme="majorEastAsia" w:cstheme="majorBidi"/>
          <w:bCs/>
        </w:rPr>
      </w:pPr>
    </w:p>
    <w:p w14:paraId="605E6FD7" w14:textId="4AE937E7" w:rsidR="0059616E" w:rsidRPr="001E4E40" w:rsidRDefault="0059616E" w:rsidP="00012A69">
      <w:pPr>
        <w:spacing w:after="0" w:line="240" w:lineRule="auto"/>
        <w:jc w:val="both"/>
        <w:rPr>
          <w:sz w:val="24"/>
          <w:szCs w:val="24"/>
          <w:lang w:eastAsia="hr-HR"/>
        </w:rPr>
      </w:pPr>
      <w:r w:rsidRPr="001E4E40">
        <w:rPr>
          <w:sz w:val="24"/>
          <w:szCs w:val="24"/>
          <w:lang w:eastAsia="hr-HR"/>
        </w:rPr>
        <w:t>Primitak i povrat kratkoročnih kredita i zajmova koji se vraćaju u istoj proračunskoj godini u kojoj su primljeni</w:t>
      </w:r>
      <w:r w:rsidR="00A72EB7">
        <w:rPr>
          <w:sz w:val="24"/>
          <w:szCs w:val="24"/>
          <w:lang w:eastAsia="hr-HR"/>
        </w:rPr>
        <w:t>,</w:t>
      </w:r>
      <w:r w:rsidRPr="001E4E40">
        <w:rPr>
          <w:sz w:val="24"/>
          <w:szCs w:val="24"/>
          <w:lang w:eastAsia="hr-HR"/>
        </w:rPr>
        <w:t xml:space="preserve"> u računovodstvu se ne iskazuje na razredu 8 Primici od financijske imovine i zaduživanja i na razredu 5 Izdaci za financijsku imovinu i otplate zajmova</w:t>
      </w:r>
      <w:r w:rsidR="00BF798D">
        <w:rPr>
          <w:sz w:val="24"/>
          <w:szCs w:val="24"/>
          <w:lang w:eastAsia="hr-HR"/>
        </w:rPr>
        <w:t>. S</w:t>
      </w:r>
      <w:r w:rsidRPr="001E4E40">
        <w:rPr>
          <w:sz w:val="24"/>
          <w:szCs w:val="24"/>
          <w:lang w:eastAsia="hr-HR"/>
        </w:rPr>
        <w:t xml:space="preserve">toga </w:t>
      </w:r>
      <w:r w:rsidR="00BF798D" w:rsidRPr="001E4E40">
        <w:rPr>
          <w:sz w:val="24"/>
          <w:szCs w:val="24"/>
          <w:lang w:eastAsia="hr-HR"/>
        </w:rPr>
        <w:t>kratkoročn</w:t>
      </w:r>
      <w:r w:rsidR="00BF798D">
        <w:rPr>
          <w:sz w:val="24"/>
          <w:szCs w:val="24"/>
          <w:lang w:eastAsia="hr-HR"/>
        </w:rPr>
        <w:t xml:space="preserve">e </w:t>
      </w:r>
      <w:r w:rsidR="00BF798D" w:rsidRPr="001E4E40">
        <w:rPr>
          <w:sz w:val="24"/>
          <w:szCs w:val="24"/>
          <w:lang w:eastAsia="hr-HR"/>
        </w:rPr>
        <w:t>kredit</w:t>
      </w:r>
      <w:r w:rsidR="00BF798D">
        <w:rPr>
          <w:sz w:val="24"/>
          <w:szCs w:val="24"/>
          <w:lang w:eastAsia="hr-HR"/>
        </w:rPr>
        <w:t>e</w:t>
      </w:r>
      <w:r w:rsidR="00BF798D" w:rsidRPr="001E4E40">
        <w:rPr>
          <w:sz w:val="24"/>
          <w:szCs w:val="24"/>
          <w:lang w:eastAsia="hr-HR"/>
        </w:rPr>
        <w:t xml:space="preserve"> i zajmov</w:t>
      </w:r>
      <w:r w:rsidR="00BF798D">
        <w:rPr>
          <w:sz w:val="24"/>
          <w:szCs w:val="24"/>
          <w:lang w:eastAsia="hr-HR"/>
        </w:rPr>
        <w:t>e</w:t>
      </w:r>
      <w:r w:rsidR="00BF798D" w:rsidRPr="001E4E40">
        <w:rPr>
          <w:sz w:val="24"/>
          <w:szCs w:val="24"/>
          <w:lang w:eastAsia="hr-HR"/>
        </w:rPr>
        <w:t xml:space="preserve"> koji se vraćaju u istoj proračunskoj godini</w:t>
      </w:r>
      <w:r w:rsidRPr="001E4E40">
        <w:rPr>
          <w:sz w:val="24"/>
          <w:szCs w:val="24"/>
          <w:lang w:eastAsia="hr-HR"/>
        </w:rPr>
        <w:t xml:space="preserve"> ne treba niti planirati na primicima i izdacima. Međutim, ako se primljeni kratkoročni zajam ne vraća u godini u kojoj je primljen, u računovodstvu na kraju godine na razredu 8 Primici od financijske imovine i zaduživanja ostaje iskazan iznos koji nije vraćen tijekom godine, dok će sljedeće godine taj isti iznos biti iskazan na razredu 5 Izdaci za financijsku imovinu i otplate zajmova. Stoga iznos glavnice koji na kraju godine neće biti vraćen treba u tekućoj godini planirati na primicima, a u sljedećoj godini na izdacima. Sredstva kredita ili zajma koja nisu vraćena u tekućoj godini korištena su za pokriće obveza za rashode. Povrat će se u sljedećoj godini financirati iz ostvarenih prihoda. Na taj način ostvarit će se proračunska ravnoteža.</w:t>
      </w:r>
    </w:p>
    <w:p w14:paraId="19EA801A" w14:textId="77777777" w:rsidR="00EA5B3E" w:rsidRDefault="00EA5B3E" w:rsidP="00012A69">
      <w:pPr>
        <w:spacing w:after="0" w:line="240" w:lineRule="auto"/>
        <w:jc w:val="both"/>
        <w:rPr>
          <w:sz w:val="24"/>
          <w:szCs w:val="24"/>
          <w:lang w:eastAsia="hr-HR"/>
        </w:rPr>
      </w:pPr>
    </w:p>
    <w:p w14:paraId="133288E4" w14:textId="77777777" w:rsidR="00012A69" w:rsidRPr="001E4E40" w:rsidRDefault="00012A69" w:rsidP="00012A69">
      <w:pPr>
        <w:spacing w:after="0" w:line="240" w:lineRule="auto"/>
        <w:jc w:val="both"/>
        <w:rPr>
          <w:sz w:val="24"/>
          <w:szCs w:val="24"/>
          <w:lang w:eastAsia="hr-HR"/>
        </w:rPr>
      </w:pPr>
    </w:p>
    <w:p w14:paraId="62F9D25D" w14:textId="2D695D67" w:rsidR="0059616E" w:rsidRPr="001E4E40" w:rsidRDefault="0059616E" w:rsidP="00012A69">
      <w:pPr>
        <w:keepNext/>
        <w:keepLines/>
        <w:numPr>
          <w:ilvl w:val="1"/>
          <w:numId w:val="2"/>
        </w:numPr>
        <w:spacing w:after="0" w:line="240" w:lineRule="auto"/>
        <w:jc w:val="both"/>
        <w:outlineLvl w:val="1"/>
        <w:rPr>
          <w:rFonts w:eastAsiaTheme="majorEastAsia" w:cstheme="majorBidi"/>
          <w:b/>
          <w:bCs/>
          <w:sz w:val="24"/>
          <w:szCs w:val="24"/>
          <w:lang w:eastAsia="hr-HR"/>
        </w:rPr>
      </w:pPr>
      <w:bookmarkStart w:id="15" w:name="_Toc18594174"/>
      <w:r w:rsidRPr="001E4E40">
        <w:rPr>
          <w:rFonts w:eastAsiaTheme="majorEastAsia" w:cstheme="majorBidi"/>
          <w:b/>
          <w:bCs/>
          <w:sz w:val="24"/>
          <w:szCs w:val="24"/>
          <w:lang w:eastAsia="hr-HR"/>
        </w:rPr>
        <w:t xml:space="preserve">Uključivanje svih prihoda </w:t>
      </w:r>
      <w:r w:rsidR="00016648">
        <w:rPr>
          <w:rFonts w:eastAsiaTheme="majorEastAsia" w:cstheme="majorBidi"/>
          <w:b/>
          <w:bCs/>
          <w:sz w:val="24"/>
          <w:szCs w:val="24"/>
          <w:lang w:eastAsia="hr-HR"/>
        </w:rPr>
        <w:t xml:space="preserve">i </w:t>
      </w:r>
      <w:r w:rsidRPr="001E4E40">
        <w:rPr>
          <w:rFonts w:eastAsiaTheme="majorEastAsia" w:cstheme="majorBidi"/>
          <w:b/>
          <w:bCs/>
          <w:sz w:val="24"/>
          <w:szCs w:val="24"/>
          <w:lang w:eastAsia="hr-HR"/>
        </w:rPr>
        <w:t xml:space="preserve">primitaka te rashoda i izdataka škola u proračun nadležne </w:t>
      </w:r>
      <w:r w:rsidR="005C011F" w:rsidRPr="001E4E40">
        <w:rPr>
          <w:rFonts w:eastAsiaTheme="majorEastAsia" w:cstheme="majorBidi"/>
          <w:b/>
          <w:bCs/>
          <w:sz w:val="24"/>
          <w:szCs w:val="24"/>
          <w:lang w:eastAsia="hr-HR"/>
        </w:rPr>
        <w:t>jedinice lokalne i područne (regionalne) samouprave</w:t>
      </w:r>
      <w:r w:rsidRPr="001E4E40">
        <w:rPr>
          <w:rFonts w:eastAsiaTheme="majorEastAsia" w:cstheme="majorBidi"/>
          <w:b/>
          <w:bCs/>
          <w:sz w:val="24"/>
          <w:szCs w:val="24"/>
          <w:lang w:eastAsia="hr-HR"/>
        </w:rPr>
        <w:t xml:space="preserve"> (pomoći iz državnog proračuna te plaće i drugi rashodi za zaposlene)</w:t>
      </w:r>
      <w:bookmarkEnd w:id="15"/>
    </w:p>
    <w:p w14:paraId="06ADA0CE" w14:textId="77777777" w:rsidR="00D573FF" w:rsidRPr="00BF07A4" w:rsidRDefault="00D573FF" w:rsidP="00BF07A4">
      <w:pPr>
        <w:spacing w:after="0" w:line="240" w:lineRule="auto"/>
        <w:jc w:val="both"/>
        <w:rPr>
          <w:rFonts w:eastAsia="Times New Roman" w:cs="Times New Roman"/>
          <w:sz w:val="24"/>
          <w:szCs w:val="24"/>
          <w:lang w:eastAsia="hr-HR"/>
        </w:rPr>
      </w:pPr>
    </w:p>
    <w:p w14:paraId="25081832" w14:textId="7E448564" w:rsidR="00BB6742" w:rsidRPr="001E4E40" w:rsidRDefault="00BB6742" w:rsidP="00012A69">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U Uputama za izradu proračuna jedinica lokalne i područne (regionalne) samouprave za razdoblje 2016. - 2018. detaljno je obrazložena obveza uključivanja svih prihoda i primitaka, rashoda i izdataka proračunskih korisnika u proračun jedinice lokalne i područne (regionalne) samouprave, sukladno ekonomskoj, programskoj, funkcijskoj, organizacijskoj, lokacijskoj klasifikaciji te izvorima financiranja. Iznimka je napravljena za plaće i ostale rashode za zaposlene osnovnih i srednjih škola. Naime, plaće i ostali rashodi za zaposlene osnovnih i srednjih škola u Državnom proračunu Republike Hrvatske za 2019. godinu (kao i ranijih godina) iskaz</w:t>
      </w:r>
      <w:r w:rsidR="00A72EB7">
        <w:rPr>
          <w:rFonts w:eastAsia="Times New Roman" w:cs="Times New Roman"/>
          <w:sz w:val="24"/>
          <w:szCs w:val="24"/>
          <w:lang w:eastAsia="hr-HR"/>
        </w:rPr>
        <w:t xml:space="preserve">ani su </w:t>
      </w:r>
      <w:r w:rsidRPr="001E4E40">
        <w:rPr>
          <w:rFonts w:eastAsia="Times New Roman" w:cs="Times New Roman"/>
          <w:sz w:val="24"/>
          <w:szCs w:val="24"/>
          <w:lang w:eastAsia="hr-HR"/>
        </w:rPr>
        <w:t xml:space="preserve">po prirodnoj vrsti troška pa ih stoga nadležne jedinice </w:t>
      </w:r>
      <w:r w:rsidR="00A4357A">
        <w:rPr>
          <w:rFonts w:eastAsia="Times New Roman" w:cs="Times New Roman"/>
          <w:sz w:val="24"/>
          <w:szCs w:val="24"/>
          <w:lang w:eastAsia="hr-HR"/>
        </w:rPr>
        <w:t>nisu iskazale</w:t>
      </w:r>
      <w:r w:rsidRPr="001E4E40">
        <w:rPr>
          <w:rFonts w:eastAsia="Times New Roman" w:cs="Times New Roman"/>
          <w:sz w:val="24"/>
          <w:szCs w:val="24"/>
          <w:lang w:eastAsia="hr-HR"/>
        </w:rPr>
        <w:t xml:space="preserve"> u  svom proračunu. </w:t>
      </w:r>
    </w:p>
    <w:p w14:paraId="42950AE8" w14:textId="77777777" w:rsidR="00BB6742" w:rsidRPr="001E4E40" w:rsidRDefault="00BB6742" w:rsidP="00012A69">
      <w:pPr>
        <w:spacing w:after="0" w:line="240" w:lineRule="auto"/>
        <w:jc w:val="both"/>
        <w:rPr>
          <w:rFonts w:eastAsia="Times New Roman" w:cs="Times New Roman"/>
          <w:sz w:val="24"/>
          <w:szCs w:val="24"/>
          <w:lang w:eastAsia="hr-HR"/>
        </w:rPr>
      </w:pPr>
    </w:p>
    <w:p w14:paraId="6AD050D4" w14:textId="77777777" w:rsidR="00BB6742" w:rsidRPr="001E4E40" w:rsidRDefault="00BB6742" w:rsidP="00012A69">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lastRenderedPageBreak/>
        <w:t>Državni ured za reviziju je u Izvješću o obavljenoj reviziji Godišnjeg izvještaja o izvršenju Državnog proračuna Republike Hrvatske za 2018. godinu utvrdio da plaće i ostali rashodi za zaposlene osnovnih i srednjih škola nisu u državnom proračunu, odnosno izvještaju o izvršenju državnog proračuna iskazani na odgovarajućim računima ekonomske klasifikacije, jer su, s obzirom na to da su osnovne i srednje škole uglavnom proračunski korisnici proračuna jedinica lokalne i područne (regionalne) samouprave, navedeni rashodi trebali biti iskazani u okviru rashoda za pomoći proračunskim korisnicima drugih proračuna. S druge strane, a prema uputi Ministarstva financija, u financijskim izvještajima Ministarstva znanosti i obrazovanja, sredstava za bruto plaće, doprinose i ostale rashode za zaposlenike osnovnih i srednjih škola čiji su osnivači jedinice, iskazuju se na propisani način - u okviru rashoda za pomoći.</w:t>
      </w:r>
    </w:p>
    <w:p w14:paraId="54B9BA18" w14:textId="77777777" w:rsidR="00BB6742" w:rsidRPr="001E4E40" w:rsidRDefault="00BB6742" w:rsidP="00012A69">
      <w:pPr>
        <w:spacing w:after="0" w:line="240" w:lineRule="auto"/>
        <w:jc w:val="both"/>
        <w:rPr>
          <w:rFonts w:eastAsia="Times New Roman" w:cs="Times New Roman"/>
          <w:sz w:val="24"/>
          <w:szCs w:val="24"/>
          <w:lang w:eastAsia="hr-HR"/>
        </w:rPr>
      </w:pPr>
    </w:p>
    <w:p w14:paraId="742505E7" w14:textId="32227D70" w:rsidR="00BB6742" w:rsidRPr="001E4E40" w:rsidRDefault="00BB6742" w:rsidP="00012A69">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Nastavno na navedeno, Državni ured za reviziju naložio je sredstva za financiranje rashoda u vezi sa zaposlenicima osnovnih i srednjih škola, planirati </w:t>
      </w:r>
      <w:r w:rsidR="00E17872">
        <w:rPr>
          <w:rFonts w:eastAsia="Times New Roman" w:cs="Times New Roman"/>
          <w:sz w:val="24"/>
          <w:szCs w:val="24"/>
          <w:lang w:eastAsia="hr-HR"/>
        </w:rPr>
        <w:t xml:space="preserve">u </w:t>
      </w:r>
      <w:r w:rsidRPr="001E4E40">
        <w:rPr>
          <w:rFonts w:eastAsia="Times New Roman" w:cs="Times New Roman"/>
          <w:sz w:val="24"/>
          <w:szCs w:val="24"/>
          <w:lang w:eastAsia="hr-HR"/>
        </w:rPr>
        <w:t>državn</w:t>
      </w:r>
      <w:r w:rsidR="00E17872">
        <w:rPr>
          <w:rFonts w:eastAsia="Times New Roman" w:cs="Times New Roman"/>
          <w:sz w:val="24"/>
          <w:szCs w:val="24"/>
          <w:lang w:eastAsia="hr-HR"/>
        </w:rPr>
        <w:t>om</w:t>
      </w:r>
      <w:r w:rsidRPr="001E4E40">
        <w:rPr>
          <w:rFonts w:eastAsia="Times New Roman" w:cs="Times New Roman"/>
          <w:sz w:val="24"/>
          <w:szCs w:val="24"/>
          <w:lang w:eastAsia="hr-HR"/>
        </w:rPr>
        <w:t xml:space="preserve"> proračun</w:t>
      </w:r>
      <w:r w:rsidR="00E17872">
        <w:rPr>
          <w:rFonts w:eastAsia="Times New Roman" w:cs="Times New Roman"/>
          <w:sz w:val="24"/>
          <w:szCs w:val="24"/>
          <w:lang w:eastAsia="hr-HR"/>
        </w:rPr>
        <w:t>u</w:t>
      </w:r>
      <w:r w:rsidRPr="001E4E40">
        <w:rPr>
          <w:rFonts w:eastAsia="Times New Roman" w:cs="Times New Roman"/>
          <w:sz w:val="24"/>
          <w:szCs w:val="24"/>
          <w:lang w:eastAsia="hr-HR"/>
        </w:rPr>
        <w:t xml:space="preserve"> na odgovarajućim računima ekonomske klasifikacije. Temeljem ovog naloga Državnog ureda za reviziju sredstva za plaće i ostale rashode za zaposlene osnovnih i srednjih škola će u Državnom proračunu za 2020. i projekcijama za 2021. i 2022. godinu biti planirana u okviru podskupine računa 366 Pomoći proračunskim korisnicima drugih proračuna. </w:t>
      </w:r>
    </w:p>
    <w:p w14:paraId="4B60714B" w14:textId="77777777" w:rsidR="00BB6742" w:rsidRPr="001E4E40" w:rsidRDefault="00BB6742" w:rsidP="00012A69">
      <w:pPr>
        <w:spacing w:after="0" w:line="240" w:lineRule="auto"/>
        <w:jc w:val="both"/>
        <w:rPr>
          <w:rFonts w:eastAsia="Times New Roman" w:cs="Times New Roman"/>
          <w:sz w:val="24"/>
          <w:szCs w:val="24"/>
          <w:lang w:eastAsia="hr-HR"/>
        </w:rPr>
      </w:pPr>
    </w:p>
    <w:p w14:paraId="4DE7262F" w14:textId="77777777" w:rsidR="00BB6742" w:rsidRPr="001E4E40" w:rsidRDefault="00BB6742" w:rsidP="00012A69">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U financijskim planovima škola ništa se ne mijenja u odnosu na prethodnu godinu. Škole kao i do sada sredstva za plaće i druge rashode za zaposlene koji se osiguravaju u državnom proračunu u svom financijskom planu iskazuju u okviru podskupine 636 Pomoći proračunskim korisnicima iz proračuna koji im nije nadležan.</w:t>
      </w:r>
    </w:p>
    <w:p w14:paraId="335322C0" w14:textId="77777777" w:rsidR="00A1304E" w:rsidRPr="001E4E40" w:rsidRDefault="00A1304E" w:rsidP="00012A69">
      <w:pPr>
        <w:spacing w:after="0" w:line="240" w:lineRule="auto"/>
        <w:jc w:val="both"/>
        <w:rPr>
          <w:rFonts w:eastAsia="Times New Roman" w:cs="Times New Roman"/>
          <w:sz w:val="24"/>
          <w:szCs w:val="24"/>
          <w:lang w:eastAsia="hr-HR"/>
        </w:rPr>
      </w:pPr>
    </w:p>
    <w:p w14:paraId="125CE5B6" w14:textId="21CFC67F" w:rsidR="00F145A5" w:rsidRDefault="00BB6742" w:rsidP="00012A69">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Međutim, promjena je u proračunima nadležnih jedinica lokalne i područne (regionalne) samouprave koje će u svoj proračun u cijelosti uključiti financijsk</w:t>
      </w:r>
      <w:r w:rsidR="00E17872">
        <w:rPr>
          <w:rFonts w:eastAsia="Times New Roman" w:cs="Times New Roman"/>
          <w:sz w:val="24"/>
          <w:szCs w:val="24"/>
          <w:lang w:eastAsia="hr-HR"/>
        </w:rPr>
        <w:t>e</w:t>
      </w:r>
      <w:r w:rsidRPr="001E4E40">
        <w:rPr>
          <w:rFonts w:eastAsia="Times New Roman" w:cs="Times New Roman"/>
          <w:sz w:val="24"/>
          <w:szCs w:val="24"/>
          <w:lang w:eastAsia="hr-HR"/>
        </w:rPr>
        <w:t xml:space="preserve"> planove škola obuhvaćajući i plaće te ostale rashode za zaposlene, a na prihodnoj strani sredstva pomoći proračunskim korisnicima iz proračuna koji im nije nadležan (sredstva ostvarena iz državnog proračuna). </w:t>
      </w:r>
    </w:p>
    <w:p w14:paraId="7FD44164" w14:textId="77777777" w:rsidR="00012A69" w:rsidRDefault="00012A69" w:rsidP="00012A69">
      <w:pPr>
        <w:spacing w:after="0" w:line="240" w:lineRule="auto"/>
        <w:jc w:val="both"/>
        <w:rPr>
          <w:rFonts w:eastAsia="Times New Roman" w:cs="Times New Roman"/>
          <w:sz w:val="24"/>
          <w:szCs w:val="24"/>
          <w:lang w:eastAsia="hr-HR"/>
        </w:rPr>
      </w:pPr>
    </w:p>
    <w:p w14:paraId="14BA47A8" w14:textId="77777777" w:rsidR="00012A69" w:rsidRPr="001E4E40" w:rsidRDefault="00012A69" w:rsidP="00012A69">
      <w:pPr>
        <w:spacing w:after="0" w:line="240" w:lineRule="auto"/>
        <w:jc w:val="both"/>
        <w:rPr>
          <w:rFonts w:eastAsia="Times New Roman" w:cs="Times New Roman"/>
          <w:sz w:val="24"/>
          <w:szCs w:val="24"/>
          <w:lang w:eastAsia="hr-HR"/>
        </w:rPr>
      </w:pPr>
    </w:p>
    <w:p w14:paraId="10E52CFE" w14:textId="77777777" w:rsidR="00E40BBC" w:rsidRPr="001E4E40" w:rsidRDefault="00E40BBC" w:rsidP="00012A69">
      <w:pPr>
        <w:keepNext/>
        <w:keepLines/>
        <w:numPr>
          <w:ilvl w:val="1"/>
          <w:numId w:val="2"/>
        </w:numPr>
        <w:spacing w:after="0" w:line="240" w:lineRule="auto"/>
        <w:jc w:val="both"/>
        <w:outlineLvl w:val="1"/>
        <w:rPr>
          <w:rFonts w:eastAsiaTheme="majorEastAsia" w:cstheme="majorBidi"/>
          <w:b/>
          <w:bCs/>
          <w:sz w:val="24"/>
          <w:szCs w:val="24"/>
        </w:rPr>
      </w:pPr>
      <w:bookmarkStart w:id="16" w:name="_Toc18594175"/>
      <w:r w:rsidRPr="001E4E40">
        <w:rPr>
          <w:rFonts w:eastAsiaTheme="majorEastAsia" w:cstheme="majorBidi"/>
          <w:b/>
          <w:bCs/>
          <w:sz w:val="24"/>
          <w:szCs w:val="24"/>
          <w:lang w:eastAsia="hr-HR"/>
        </w:rPr>
        <w:t xml:space="preserve">Planiranje </w:t>
      </w:r>
      <w:r w:rsidR="00BB6742" w:rsidRPr="001E4E40">
        <w:rPr>
          <w:rFonts w:eastAsiaTheme="majorEastAsia" w:cstheme="majorBidi"/>
          <w:b/>
          <w:bCs/>
          <w:sz w:val="24"/>
          <w:szCs w:val="24"/>
          <w:lang w:eastAsia="hr-HR"/>
        </w:rPr>
        <w:t>sredstava za obavljanje povjerenih poslova državne</w:t>
      </w:r>
      <w:r w:rsidR="00BB6742" w:rsidRPr="001E4E40">
        <w:rPr>
          <w:b/>
          <w:sz w:val="24"/>
          <w:szCs w:val="24"/>
        </w:rPr>
        <w:t xml:space="preserve"> uprave</w:t>
      </w:r>
      <w:bookmarkEnd w:id="16"/>
      <w:r w:rsidR="00BB6742" w:rsidRPr="001E4E40">
        <w:rPr>
          <w:b/>
          <w:sz w:val="24"/>
          <w:szCs w:val="24"/>
        </w:rPr>
        <w:t xml:space="preserve"> </w:t>
      </w:r>
      <w:r w:rsidR="00BB6742" w:rsidRPr="001E4E40">
        <w:rPr>
          <w:rFonts w:eastAsiaTheme="majorEastAsia" w:cstheme="majorBidi"/>
          <w:b/>
          <w:bCs/>
          <w:sz w:val="24"/>
          <w:szCs w:val="24"/>
        </w:rPr>
        <w:t xml:space="preserve"> </w:t>
      </w:r>
    </w:p>
    <w:p w14:paraId="42FBD6C1" w14:textId="77777777" w:rsidR="00BB6742" w:rsidRPr="001E4E40" w:rsidRDefault="00BB6742" w:rsidP="00012A69">
      <w:pPr>
        <w:pStyle w:val="ListParagraph"/>
        <w:ind w:left="1080"/>
        <w:rPr>
          <w:rFonts w:eastAsiaTheme="majorEastAsia" w:cstheme="majorBidi"/>
          <w:bCs/>
        </w:rPr>
      </w:pPr>
    </w:p>
    <w:p w14:paraId="526A72B8" w14:textId="021C91F1" w:rsidR="00E40BBC" w:rsidRDefault="008E61A8" w:rsidP="00012A69">
      <w:pPr>
        <w:tabs>
          <w:tab w:val="left" w:pos="0"/>
        </w:tabs>
        <w:spacing w:after="0" w:line="240" w:lineRule="auto"/>
        <w:jc w:val="both"/>
        <w:rPr>
          <w:sz w:val="24"/>
          <w:szCs w:val="24"/>
        </w:rPr>
      </w:pPr>
      <w:r w:rsidRPr="001E4E40">
        <w:rPr>
          <w:sz w:val="24"/>
          <w:szCs w:val="24"/>
        </w:rPr>
        <w:t>Izmjenama i dopunama Zakona o sustavu državne uprave</w:t>
      </w:r>
      <w:r w:rsidR="0048298F" w:rsidRPr="001E4E40">
        <w:rPr>
          <w:sz w:val="24"/>
          <w:szCs w:val="24"/>
        </w:rPr>
        <w:t xml:space="preserve"> (Narodne novine, br</w:t>
      </w:r>
      <w:r w:rsidR="00754C39" w:rsidRPr="001E4E40">
        <w:rPr>
          <w:sz w:val="24"/>
          <w:szCs w:val="24"/>
        </w:rPr>
        <w:t>. 66/</w:t>
      </w:r>
      <w:r w:rsidR="0048298F" w:rsidRPr="001E4E40">
        <w:rPr>
          <w:sz w:val="24"/>
          <w:szCs w:val="24"/>
        </w:rPr>
        <w:t xml:space="preserve">19) </w:t>
      </w:r>
      <w:r w:rsidRPr="001E4E40">
        <w:rPr>
          <w:sz w:val="24"/>
          <w:szCs w:val="24"/>
        </w:rPr>
        <w:t xml:space="preserve">omogućilo se povjeravanje poslova ureda državne uprave koji su prvostupanjskog karaktera, osobito poslova rješavanja u upravnim stvarima i izdavanja raznih potvrda, županijama, odnosno upravnim tijelima županija. </w:t>
      </w:r>
      <w:r w:rsidR="00E40BBC" w:rsidRPr="001E4E40">
        <w:rPr>
          <w:sz w:val="24"/>
          <w:szCs w:val="24"/>
        </w:rPr>
        <w:t xml:space="preserve">Time će se postići djelotvornije i učinkovitije obavljanje poslova državne uprave na razini najbližoj građanima.  </w:t>
      </w:r>
    </w:p>
    <w:p w14:paraId="3E31072B" w14:textId="77777777" w:rsidR="00016648" w:rsidRPr="001E4E40" w:rsidRDefault="00016648" w:rsidP="00012A69">
      <w:pPr>
        <w:tabs>
          <w:tab w:val="left" w:pos="0"/>
        </w:tabs>
        <w:spacing w:after="0" w:line="240" w:lineRule="auto"/>
        <w:jc w:val="both"/>
        <w:rPr>
          <w:sz w:val="24"/>
          <w:szCs w:val="24"/>
        </w:rPr>
      </w:pPr>
    </w:p>
    <w:p w14:paraId="58BFD70E" w14:textId="1FADC8F5" w:rsidR="00E40BBC" w:rsidRDefault="008E61A8" w:rsidP="00012A69">
      <w:pPr>
        <w:tabs>
          <w:tab w:val="left" w:pos="0"/>
        </w:tabs>
        <w:spacing w:after="0" w:line="240" w:lineRule="auto"/>
        <w:jc w:val="both"/>
        <w:rPr>
          <w:sz w:val="24"/>
          <w:szCs w:val="24"/>
        </w:rPr>
      </w:pPr>
      <w:r w:rsidRPr="001E4E40">
        <w:rPr>
          <w:sz w:val="24"/>
          <w:szCs w:val="24"/>
        </w:rPr>
        <w:t>Sredstva za obavljanje povjerenih poslova državne uprave</w:t>
      </w:r>
      <w:r w:rsidR="0028402A" w:rsidRPr="001E4E40">
        <w:rPr>
          <w:sz w:val="24"/>
          <w:szCs w:val="24"/>
        </w:rPr>
        <w:t xml:space="preserve"> doznačavat će </w:t>
      </w:r>
      <w:r w:rsidR="003002F2" w:rsidRPr="001E4E40">
        <w:rPr>
          <w:sz w:val="24"/>
          <w:szCs w:val="24"/>
        </w:rPr>
        <w:t xml:space="preserve">se </w:t>
      </w:r>
      <w:r w:rsidR="0028402A" w:rsidRPr="001E4E40">
        <w:rPr>
          <w:sz w:val="24"/>
          <w:szCs w:val="24"/>
        </w:rPr>
        <w:t>iz</w:t>
      </w:r>
      <w:r w:rsidRPr="001E4E40">
        <w:rPr>
          <w:sz w:val="24"/>
          <w:szCs w:val="24"/>
        </w:rPr>
        <w:t xml:space="preserve"> državn</w:t>
      </w:r>
      <w:r w:rsidR="0028402A" w:rsidRPr="001E4E40">
        <w:rPr>
          <w:sz w:val="24"/>
          <w:szCs w:val="24"/>
        </w:rPr>
        <w:t>og</w:t>
      </w:r>
      <w:r w:rsidR="00016648">
        <w:rPr>
          <w:sz w:val="24"/>
          <w:szCs w:val="24"/>
        </w:rPr>
        <w:t xml:space="preserve"> proračuna</w:t>
      </w:r>
      <w:r w:rsidRPr="001E4E40">
        <w:rPr>
          <w:sz w:val="24"/>
          <w:szCs w:val="24"/>
        </w:rPr>
        <w:t xml:space="preserve"> </w:t>
      </w:r>
      <w:r w:rsidR="0028402A" w:rsidRPr="001E4E40">
        <w:rPr>
          <w:sz w:val="24"/>
          <w:szCs w:val="24"/>
        </w:rPr>
        <w:t>sa razdjela Ministarstva uprav</w:t>
      </w:r>
      <w:r w:rsidR="00EC391C" w:rsidRPr="001E4E40">
        <w:rPr>
          <w:sz w:val="24"/>
          <w:szCs w:val="24"/>
        </w:rPr>
        <w:t>e</w:t>
      </w:r>
      <w:r w:rsidR="0028402A" w:rsidRPr="001E4E40">
        <w:rPr>
          <w:sz w:val="24"/>
          <w:szCs w:val="24"/>
        </w:rPr>
        <w:t>, podskupine računa 363 Pomoći unutar općeg proračun</w:t>
      </w:r>
      <w:r w:rsidR="005644C6" w:rsidRPr="001E4E40">
        <w:rPr>
          <w:sz w:val="24"/>
          <w:szCs w:val="24"/>
        </w:rPr>
        <w:t>a</w:t>
      </w:r>
      <w:r w:rsidR="0028402A" w:rsidRPr="001E4E40">
        <w:rPr>
          <w:sz w:val="24"/>
          <w:szCs w:val="24"/>
        </w:rPr>
        <w:t>.  Županije će navedena sredstva planirati u okviru podskupine računa 633 Pomoć</w:t>
      </w:r>
      <w:r w:rsidR="00D26BDE" w:rsidRPr="001E4E40">
        <w:rPr>
          <w:sz w:val="24"/>
          <w:szCs w:val="24"/>
        </w:rPr>
        <w:t>i</w:t>
      </w:r>
      <w:r w:rsidR="0028402A" w:rsidRPr="001E4E40">
        <w:rPr>
          <w:sz w:val="24"/>
          <w:szCs w:val="24"/>
        </w:rPr>
        <w:t xml:space="preserve"> proračunu iz drugih proračuna. </w:t>
      </w:r>
    </w:p>
    <w:p w14:paraId="690321D6" w14:textId="77777777" w:rsidR="00016648" w:rsidRPr="001E4E40" w:rsidRDefault="00016648" w:rsidP="00012A69">
      <w:pPr>
        <w:tabs>
          <w:tab w:val="left" w:pos="0"/>
        </w:tabs>
        <w:spacing w:after="0" w:line="240" w:lineRule="auto"/>
        <w:jc w:val="both"/>
        <w:rPr>
          <w:sz w:val="24"/>
          <w:szCs w:val="24"/>
        </w:rPr>
      </w:pPr>
    </w:p>
    <w:p w14:paraId="73B74ABE" w14:textId="58F3F242" w:rsidR="00DC06D2" w:rsidRPr="001E4E40" w:rsidRDefault="00BB6742" w:rsidP="00012A69">
      <w:pPr>
        <w:tabs>
          <w:tab w:val="left" w:pos="0"/>
        </w:tabs>
        <w:spacing w:after="0" w:line="240" w:lineRule="auto"/>
        <w:jc w:val="both"/>
        <w:rPr>
          <w:sz w:val="24"/>
          <w:szCs w:val="24"/>
        </w:rPr>
      </w:pPr>
      <w:r w:rsidRPr="001E4E40">
        <w:rPr>
          <w:sz w:val="24"/>
          <w:szCs w:val="24"/>
        </w:rPr>
        <w:t>Sporazumima će se regulirat</w:t>
      </w:r>
      <w:r w:rsidR="00D26BDE" w:rsidRPr="001E4E40">
        <w:rPr>
          <w:sz w:val="24"/>
          <w:szCs w:val="24"/>
        </w:rPr>
        <w:t>i</w:t>
      </w:r>
      <w:r w:rsidRPr="001E4E40">
        <w:rPr>
          <w:sz w:val="24"/>
          <w:szCs w:val="24"/>
        </w:rPr>
        <w:t xml:space="preserve"> ostala pitanja o preuzimanju državnih službenika i namještenika, opreme, sredstava za rad, pismohrane i druge dokumentacije, financijskih obveza te prava i obveze ureda državne uprave u županijama.</w:t>
      </w:r>
    </w:p>
    <w:p w14:paraId="0C6F707A" w14:textId="77777777" w:rsidR="00016648" w:rsidRDefault="00016648" w:rsidP="00DC06D2">
      <w:pPr>
        <w:keepNext/>
        <w:keepLines/>
        <w:numPr>
          <w:ilvl w:val="0"/>
          <w:numId w:val="2"/>
        </w:numPr>
        <w:spacing w:before="480" w:after="0" w:line="240" w:lineRule="auto"/>
        <w:ind w:left="714" w:hanging="357"/>
        <w:jc w:val="both"/>
        <w:outlineLvl w:val="0"/>
        <w:rPr>
          <w:rFonts w:eastAsiaTheme="majorEastAsia" w:cstheme="majorBidi"/>
          <w:b/>
          <w:bCs/>
        </w:rPr>
      </w:pPr>
      <w:bookmarkStart w:id="17" w:name="_Toc18594176"/>
      <w:r w:rsidRPr="00016648">
        <w:rPr>
          <w:rFonts w:eastAsiaTheme="majorEastAsia" w:cstheme="majorBidi"/>
          <w:b/>
          <w:bCs/>
          <w:sz w:val="28"/>
          <w:szCs w:val="24"/>
          <w:lang w:eastAsia="hr-HR"/>
        </w:rPr>
        <w:lastRenderedPageBreak/>
        <w:t>DOSTAVA DOKUMENATA I UNOS PODATAKA</w:t>
      </w:r>
      <w:bookmarkEnd w:id="17"/>
    </w:p>
    <w:p w14:paraId="1264615D" w14:textId="77777777" w:rsidR="00016648" w:rsidRDefault="00016648" w:rsidP="00016648">
      <w:pPr>
        <w:pStyle w:val="ListParagraph"/>
        <w:keepNext/>
        <w:keepLines/>
        <w:outlineLvl w:val="1"/>
        <w:rPr>
          <w:rFonts w:eastAsiaTheme="majorEastAsia" w:cstheme="majorBidi"/>
          <w:b/>
          <w:bCs/>
        </w:rPr>
      </w:pPr>
    </w:p>
    <w:p w14:paraId="285FB609" w14:textId="3FEF60AB" w:rsidR="00CF2C84" w:rsidRPr="00016648" w:rsidRDefault="00F55243" w:rsidP="00016648">
      <w:pPr>
        <w:pStyle w:val="ListParagraph"/>
        <w:keepNext/>
        <w:keepLines/>
        <w:numPr>
          <w:ilvl w:val="1"/>
          <w:numId w:val="2"/>
        </w:numPr>
        <w:outlineLvl w:val="1"/>
        <w:rPr>
          <w:rFonts w:eastAsiaTheme="majorEastAsia" w:cstheme="majorBidi"/>
          <w:b/>
          <w:bCs/>
        </w:rPr>
      </w:pPr>
      <w:bookmarkStart w:id="18" w:name="_Toc18594177"/>
      <w:r w:rsidRPr="00016648">
        <w:rPr>
          <w:rFonts w:eastAsiaTheme="majorEastAsia" w:cstheme="majorBidi"/>
          <w:b/>
          <w:bCs/>
        </w:rPr>
        <w:t>D</w:t>
      </w:r>
      <w:r w:rsidR="007E1B10" w:rsidRPr="00016648">
        <w:rPr>
          <w:rFonts w:eastAsiaTheme="majorEastAsia" w:cstheme="majorBidi"/>
          <w:b/>
          <w:bCs/>
        </w:rPr>
        <w:t>ostava</w:t>
      </w:r>
      <w:r w:rsidR="00F934DC" w:rsidRPr="00016648">
        <w:rPr>
          <w:rFonts w:eastAsiaTheme="majorEastAsia" w:cstheme="majorBidi"/>
          <w:b/>
          <w:bCs/>
        </w:rPr>
        <w:t xml:space="preserve"> </w:t>
      </w:r>
      <w:r w:rsidR="006C4FEA" w:rsidRPr="00016648">
        <w:rPr>
          <w:rFonts w:eastAsiaTheme="majorEastAsia" w:cstheme="majorBidi"/>
          <w:b/>
          <w:bCs/>
        </w:rPr>
        <w:t>proračunskih dokumenata</w:t>
      </w:r>
      <w:r w:rsidR="008B65E2" w:rsidRPr="00016648">
        <w:rPr>
          <w:rFonts w:eastAsiaTheme="majorEastAsia" w:cstheme="majorBidi"/>
          <w:b/>
          <w:bCs/>
        </w:rPr>
        <w:t xml:space="preserve"> </w:t>
      </w:r>
      <w:r w:rsidR="00864C98" w:rsidRPr="00016648">
        <w:rPr>
          <w:rFonts w:eastAsiaTheme="majorEastAsia" w:cstheme="majorBidi"/>
          <w:b/>
          <w:bCs/>
        </w:rPr>
        <w:t>Ministarstvu financija</w:t>
      </w:r>
      <w:r w:rsidR="006C4FEA" w:rsidRPr="00016648">
        <w:rPr>
          <w:rFonts w:eastAsiaTheme="majorEastAsia" w:cstheme="majorBidi"/>
          <w:b/>
          <w:bCs/>
        </w:rPr>
        <w:t xml:space="preserve"> </w:t>
      </w:r>
      <w:r w:rsidR="00317607" w:rsidRPr="00016648">
        <w:rPr>
          <w:rFonts w:eastAsiaTheme="majorEastAsia" w:cstheme="majorBidi"/>
          <w:b/>
          <w:bCs/>
        </w:rPr>
        <w:t>i Državnom uredu za reviziju</w:t>
      </w:r>
      <w:bookmarkEnd w:id="18"/>
    </w:p>
    <w:p w14:paraId="7AD73169" w14:textId="77777777" w:rsidR="00572BFB" w:rsidRPr="001E4E40" w:rsidRDefault="00572BFB" w:rsidP="00012A69">
      <w:pPr>
        <w:tabs>
          <w:tab w:val="left" w:pos="0"/>
        </w:tabs>
        <w:spacing w:after="0" w:line="240" w:lineRule="auto"/>
        <w:jc w:val="both"/>
        <w:rPr>
          <w:sz w:val="24"/>
          <w:szCs w:val="24"/>
        </w:rPr>
      </w:pPr>
    </w:p>
    <w:p w14:paraId="2C8F878D" w14:textId="019BAED6" w:rsidR="002765F5" w:rsidRPr="001E4E40" w:rsidRDefault="00EB3360" w:rsidP="00012A69">
      <w:pPr>
        <w:tabs>
          <w:tab w:val="left" w:pos="0"/>
        </w:tabs>
        <w:spacing w:after="0" w:line="240" w:lineRule="auto"/>
        <w:jc w:val="both"/>
        <w:rPr>
          <w:sz w:val="24"/>
          <w:szCs w:val="24"/>
          <w:lang w:eastAsia="hr-HR"/>
        </w:rPr>
      </w:pPr>
      <w:r w:rsidRPr="001E4E40">
        <w:rPr>
          <w:sz w:val="24"/>
          <w:szCs w:val="24"/>
        </w:rPr>
        <w:t xml:space="preserve">Sukladno članku 40. Zakona o proračunu, načelnik, gradonačelnik i župan obvezni su dostaviti Ministarstvu financija proračun i projekcije, odluke o izvršavanju proračuna te izmjene i dopune proračuna jedinica lokalne i područne (regionalne) samouprave u roku od 15 dana od njihova stupanja na snagu. </w:t>
      </w:r>
      <w:r w:rsidR="00A869EE" w:rsidRPr="001E4E40">
        <w:rPr>
          <w:sz w:val="24"/>
          <w:szCs w:val="24"/>
        </w:rPr>
        <w:t xml:space="preserve">U </w:t>
      </w:r>
      <w:r w:rsidRPr="001E4E40">
        <w:rPr>
          <w:sz w:val="24"/>
          <w:szCs w:val="24"/>
        </w:rPr>
        <w:t>Uputama</w:t>
      </w:r>
      <w:r w:rsidR="00A869EE" w:rsidRPr="001E4E40">
        <w:rPr>
          <w:sz w:val="24"/>
          <w:szCs w:val="24"/>
        </w:rPr>
        <w:t xml:space="preserve"> iz prethodnih godina</w:t>
      </w:r>
      <w:r w:rsidR="00BE3430" w:rsidRPr="001E4E40">
        <w:rPr>
          <w:sz w:val="24"/>
          <w:szCs w:val="24"/>
        </w:rPr>
        <w:t xml:space="preserve"> istaknuto je</w:t>
      </w:r>
      <w:r w:rsidR="006E64E5" w:rsidRPr="001E4E40">
        <w:rPr>
          <w:sz w:val="24"/>
          <w:szCs w:val="24"/>
        </w:rPr>
        <w:t xml:space="preserve"> </w:t>
      </w:r>
      <w:r w:rsidR="002765F5" w:rsidRPr="001E4E40">
        <w:rPr>
          <w:sz w:val="24"/>
          <w:szCs w:val="24"/>
        </w:rPr>
        <w:t>kako su</w:t>
      </w:r>
      <w:r w:rsidRPr="001E4E40">
        <w:rPr>
          <w:sz w:val="24"/>
          <w:szCs w:val="24"/>
        </w:rPr>
        <w:t xml:space="preserve"> jedinice u obvezi na adres</w:t>
      </w:r>
      <w:r w:rsidR="002765F5" w:rsidRPr="001E4E40">
        <w:rPr>
          <w:sz w:val="24"/>
          <w:szCs w:val="24"/>
        </w:rPr>
        <w:t>u</w:t>
      </w:r>
      <w:r w:rsidRPr="001E4E40">
        <w:rPr>
          <w:sz w:val="24"/>
          <w:szCs w:val="24"/>
        </w:rPr>
        <w:t xml:space="preserve"> e-pošte Ministarstva financija </w:t>
      </w:r>
      <w:hyperlink r:id="rId13" w:history="1">
        <w:r w:rsidR="00012A69" w:rsidRPr="00AB02A0">
          <w:rPr>
            <w:rStyle w:val="Hyperlink"/>
            <w:rFonts w:eastAsia="Times New Roman"/>
            <w:sz w:val="24"/>
            <w:szCs w:val="24"/>
            <w:lang w:eastAsia="hr-HR"/>
          </w:rPr>
          <w:t>lokalni.proracuni@mfin.hr</w:t>
        </w:r>
      </w:hyperlink>
      <w:r w:rsidR="00012A69">
        <w:rPr>
          <w:rFonts w:eastAsia="Times New Roman" w:cs="Times New Roman"/>
          <w:sz w:val="24"/>
          <w:szCs w:val="24"/>
          <w:lang w:eastAsia="hr-HR"/>
        </w:rPr>
        <w:t xml:space="preserve"> </w:t>
      </w:r>
      <w:r w:rsidRPr="001E4E40">
        <w:rPr>
          <w:sz w:val="24"/>
          <w:szCs w:val="24"/>
        </w:rPr>
        <w:t>poslati link na navedene dokumente objavljene u službenom glasilu, u roku od 15 dana od dana</w:t>
      </w:r>
      <w:r w:rsidRPr="001E4E40">
        <w:rPr>
          <w:rFonts w:eastAsia="Times New Roman" w:cs="Times New Roman"/>
          <w:sz w:val="24"/>
          <w:szCs w:val="24"/>
          <w:lang w:eastAsia="hr-HR"/>
        </w:rPr>
        <w:t xml:space="preserve"> njihova stupanja na snagu</w:t>
      </w:r>
      <w:r w:rsidR="002765F5" w:rsidRPr="001E4E40">
        <w:rPr>
          <w:rFonts w:eastAsia="Times New Roman" w:cs="Times New Roman"/>
          <w:sz w:val="24"/>
          <w:szCs w:val="24"/>
          <w:lang w:eastAsia="hr-HR"/>
        </w:rPr>
        <w:t>.</w:t>
      </w:r>
      <w:r w:rsidR="009F321D" w:rsidRPr="001E4E40">
        <w:rPr>
          <w:rFonts w:eastAsia="Times New Roman" w:cs="Times New Roman"/>
          <w:sz w:val="24"/>
          <w:szCs w:val="24"/>
          <w:lang w:eastAsia="hr-HR"/>
        </w:rPr>
        <w:t xml:space="preserve"> </w:t>
      </w:r>
      <w:r w:rsidRPr="001E4E40">
        <w:rPr>
          <w:rFonts w:eastAsia="Times New Roman" w:cs="Times New Roman"/>
          <w:sz w:val="24"/>
          <w:szCs w:val="24"/>
          <w:lang w:eastAsia="hr-HR"/>
        </w:rPr>
        <w:t>Iako je istaknuto da se svi navedeni dokumenti dostavljaju isključivo elektronski, dio jedi</w:t>
      </w:r>
      <w:r w:rsidR="009F321D" w:rsidRPr="001E4E40">
        <w:rPr>
          <w:rFonts w:eastAsia="Times New Roman" w:cs="Times New Roman"/>
          <w:sz w:val="24"/>
          <w:szCs w:val="24"/>
          <w:lang w:eastAsia="hr-HR"/>
        </w:rPr>
        <w:t>nica ih je i nadalje dostavljao</w:t>
      </w:r>
      <w:r w:rsidRPr="001E4E40">
        <w:rPr>
          <w:rFonts w:eastAsia="Times New Roman" w:cs="Times New Roman"/>
          <w:sz w:val="24"/>
          <w:szCs w:val="24"/>
          <w:lang w:eastAsia="hr-HR"/>
        </w:rPr>
        <w:t xml:space="preserve"> poštom u pap</w:t>
      </w:r>
      <w:r w:rsidR="00A869EE" w:rsidRPr="001E4E40">
        <w:rPr>
          <w:rFonts w:eastAsia="Times New Roman" w:cs="Times New Roman"/>
          <w:sz w:val="24"/>
          <w:szCs w:val="24"/>
          <w:lang w:eastAsia="hr-HR"/>
        </w:rPr>
        <w:t xml:space="preserve">irnatom obliku. </w:t>
      </w:r>
      <w:r w:rsidRPr="001E4E40">
        <w:rPr>
          <w:sz w:val="24"/>
          <w:szCs w:val="24"/>
        </w:rPr>
        <w:t>Stoga još jednom ukaz</w:t>
      </w:r>
      <w:r w:rsidR="002765F5" w:rsidRPr="001E4E40">
        <w:rPr>
          <w:sz w:val="24"/>
          <w:szCs w:val="24"/>
        </w:rPr>
        <w:t xml:space="preserve">ujemo </w:t>
      </w:r>
      <w:r w:rsidRPr="001E4E40">
        <w:rPr>
          <w:sz w:val="24"/>
          <w:szCs w:val="24"/>
        </w:rPr>
        <w:t xml:space="preserve">na obvezu dostave </w:t>
      </w:r>
      <w:r w:rsidRPr="001E4E40">
        <w:rPr>
          <w:b/>
          <w:sz w:val="24"/>
          <w:szCs w:val="24"/>
        </w:rPr>
        <w:t>isključivo</w:t>
      </w:r>
      <w:r w:rsidRPr="001E4E40">
        <w:rPr>
          <w:sz w:val="24"/>
          <w:szCs w:val="24"/>
        </w:rPr>
        <w:t xml:space="preserve"> </w:t>
      </w:r>
      <w:r w:rsidRPr="001E4E40">
        <w:rPr>
          <w:b/>
          <w:sz w:val="24"/>
          <w:szCs w:val="24"/>
        </w:rPr>
        <w:t>linka</w:t>
      </w:r>
      <w:r w:rsidRPr="001E4E40">
        <w:rPr>
          <w:sz w:val="24"/>
          <w:szCs w:val="24"/>
        </w:rPr>
        <w:t xml:space="preserve"> na internetsku stranicu jedinice lokalne i područne (regionalne) samouprave na kojoj su objavljeni </w:t>
      </w:r>
      <w:r w:rsidR="002765F5" w:rsidRPr="001E4E40">
        <w:rPr>
          <w:b/>
          <w:sz w:val="24"/>
          <w:szCs w:val="24"/>
        </w:rPr>
        <w:t xml:space="preserve">proračun i projekcije, odluke o izvršavanju proračuna te izmjene i dopune </w:t>
      </w:r>
      <w:r w:rsidR="002765F5" w:rsidRPr="001E4E40">
        <w:rPr>
          <w:sz w:val="24"/>
          <w:szCs w:val="24"/>
        </w:rPr>
        <w:t>proračuna jedinica lokalne i područne (regionalne) samouprave</w:t>
      </w:r>
      <w:r w:rsidRPr="001E4E40">
        <w:rPr>
          <w:sz w:val="24"/>
          <w:szCs w:val="24"/>
        </w:rPr>
        <w:t xml:space="preserve">. Link se dostavlja na e-mail adresu Ministarstva financija </w:t>
      </w:r>
      <w:hyperlink r:id="rId14" w:history="1">
        <w:r w:rsidR="00012A69" w:rsidRPr="00AB02A0">
          <w:rPr>
            <w:rStyle w:val="Hyperlink"/>
            <w:rFonts w:eastAsia="Times New Roman"/>
            <w:sz w:val="24"/>
            <w:szCs w:val="24"/>
            <w:lang w:eastAsia="hr-HR"/>
          </w:rPr>
          <w:t>lokalni.proracuni@mfin.hr</w:t>
        </w:r>
      </w:hyperlink>
      <w:r w:rsidRPr="001E4E40">
        <w:rPr>
          <w:sz w:val="24"/>
          <w:szCs w:val="24"/>
        </w:rPr>
        <w:t xml:space="preserve">. </w:t>
      </w:r>
      <w:r w:rsidR="002765F5" w:rsidRPr="001E4E40">
        <w:rPr>
          <w:sz w:val="24"/>
          <w:szCs w:val="24"/>
        </w:rPr>
        <w:t>Sve izmjene i dopune proračuna jedinice lokalne i područne (r</w:t>
      </w:r>
      <w:r w:rsidR="000F5830" w:rsidRPr="001E4E40">
        <w:rPr>
          <w:sz w:val="24"/>
          <w:szCs w:val="24"/>
        </w:rPr>
        <w:t>egionalne) samouprave za 20</w:t>
      </w:r>
      <w:r w:rsidR="00F4602F" w:rsidRPr="001E4E40">
        <w:rPr>
          <w:sz w:val="24"/>
          <w:szCs w:val="24"/>
        </w:rPr>
        <w:t>20</w:t>
      </w:r>
      <w:r w:rsidR="002765F5" w:rsidRPr="001E4E40">
        <w:rPr>
          <w:sz w:val="24"/>
          <w:szCs w:val="24"/>
        </w:rPr>
        <w:t xml:space="preserve">. godinu </w:t>
      </w:r>
      <w:r w:rsidR="000F5830" w:rsidRPr="001E4E40">
        <w:rPr>
          <w:sz w:val="24"/>
          <w:szCs w:val="24"/>
        </w:rPr>
        <w:t>koje stupe na snagu tijekom 20</w:t>
      </w:r>
      <w:r w:rsidR="00F4602F" w:rsidRPr="001E4E40">
        <w:rPr>
          <w:sz w:val="24"/>
          <w:szCs w:val="24"/>
        </w:rPr>
        <w:t>20</w:t>
      </w:r>
      <w:r w:rsidR="002765F5" w:rsidRPr="001E4E40">
        <w:rPr>
          <w:sz w:val="24"/>
          <w:szCs w:val="24"/>
        </w:rPr>
        <w:t>. godine dostavljaju se također u roku od 15 dana od d</w:t>
      </w:r>
      <w:r w:rsidR="00131F57" w:rsidRPr="001E4E40">
        <w:rPr>
          <w:sz w:val="24"/>
          <w:szCs w:val="24"/>
        </w:rPr>
        <w:t xml:space="preserve">ana njihova stupanja na snagu </w:t>
      </w:r>
      <w:r w:rsidR="00131F57" w:rsidRPr="001E4E40">
        <w:rPr>
          <w:b/>
          <w:sz w:val="24"/>
          <w:szCs w:val="24"/>
        </w:rPr>
        <w:t>i</w:t>
      </w:r>
      <w:r w:rsidR="001D5B49" w:rsidRPr="001E4E40">
        <w:rPr>
          <w:b/>
          <w:sz w:val="24"/>
          <w:szCs w:val="24"/>
        </w:rPr>
        <w:t xml:space="preserve">sključivo na </w:t>
      </w:r>
      <w:r w:rsidR="001D5B49" w:rsidRPr="001E4E40">
        <w:rPr>
          <w:b/>
          <w:sz w:val="24"/>
          <w:szCs w:val="24"/>
          <w:lang w:eastAsia="hr-HR"/>
        </w:rPr>
        <w:t xml:space="preserve">navedenu </w:t>
      </w:r>
      <w:r w:rsidR="002765F5" w:rsidRPr="001E4E40">
        <w:rPr>
          <w:b/>
          <w:sz w:val="24"/>
          <w:szCs w:val="24"/>
          <w:lang w:eastAsia="hr-HR"/>
        </w:rPr>
        <w:t>e-mail adresu</w:t>
      </w:r>
      <w:r w:rsidR="002765F5" w:rsidRPr="001E4E40">
        <w:rPr>
          <w:sz w:val="24"/>
          <w:szCs w:val="24"/>
          <w:lang w:eastAsia="hr-HR"/>
        </w:rPr>
        <w:t xml:space="preserve">. </w:t>
      </w:r>
    </w:p>
    <w:p w14:paraId="194FF02F" w14:textId="77777777" w:rsidR="001D5B49" w:rsidRPr="001E4E40" w:rsidRDefault="001D5B49" w:rsidP="00012A69">
      <w:pPr>
        <w:tabs>
          <w:tab w:val="left" w:pos="0"/>
        </w:tabs>
        <w:spacing w:after="0" w:line="240" w:lineRule="auto"/>
        <w:jc w:val="both"/>
        <w:rPr>
          <w:sz w:val="24"/>
          <w:szCs w:val="24"/>
          <w:lang w:eastAsia="hr-HR"/>
        </w:rPr>
      </w:pPr>
    </w:p>
    <w:p w14:paraId="2ABE0B40" w14:textId="77777777" w:rsidR="002765F5" w:rsidRPr="001E4E40" w:rsidRDefault="00EB3360" w:rsidP="00012A69">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Sukladno članku 112.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 </w:t>
      </w:r>
    </w:p>
    <w:p w14:paraId="57C2575D" w14:textId="77777777" w:rsidR="00B87376" w:rsidRPr="001E4E40" w:rsidRDefault="00B87376" w:rsidP="00012A69">
      <w:pPr>
        <w:spacing w:after="0" w:line="240" w:lineRule="auto"/>
        <w:jc w:val="both"/>
        <w:rPr>
          <w:rFonts w:eastAsia="Times New Roman" w:cs="Times New Roman"/>
          <w:sz w:val="24"/>
          <w:szCs w:val="24"/>
          <w:lang w:eastAsia="hr-HR"/>
        </w:rPr>
      </w:pPr>
    </w:p>
    <w:p w14:paraId="116E2599" w14:textId="756D51F1" w:rsidR="00654042" w:rsidRPr="001E4E40" w:rsidRDefault="00112924" w:rsidP="00012A69">
      <w:pPr>
        <w:spacing w:after="0" w:line="240" w:lineRule="auto"/>
        <w:jc w:val="both"/>
        <w:rPr>
          <w:rFonts w:eastAsia="Times New Roman" w:cs="Times New Roman"/>
          <w:sz w:val="24"/>
          <w:szCs w:val="24"/>
          <w:lang w:eastAsia="hr-HR"/>
        </w:rPr>
      </w:pPr>
      <w:r w:rsidRPr="001E4E40">
        <w:rPr>
          <w:rFonts w:eastAsia="Times New Roman" w:cs="Times New Roman"/>
          <w:b/>
          <w:sz w:val="24"/>
          <w:szCs w:val="24"/>
          <w:lang w:eastAsia="hr-HR"/>
        </w:rPr>
        <w:t>G</w:t>
      </w:r>
      <w:r w:rsidR="00EB3360" w:rsidRPr="001E4E40">
        <w:rPr>
          <w:rFonts w:eastAsia="Times New Roman" w:cs="Times New Roman"/>
          <w:b/>
          <w:sz w:val="24"/>
          <w:szCs w:val="24"/>
          <w:lang w:eastAsia="hr-HR"/>
        </w:rPr>
        <w:t>odišnje izvještaje o izvršenju proračuna jedinica lokalne i područne (regionalne)</w:t>
      </w:r>
      <w:r w:rsidR="002765F5" w:rsidRPr="001E4E40">
        <w:rPr>
          <w:rFonts w:eastAsia="Times New Roman" w:cs="Times New Roman"/>
          <w:b/>
          <w:sz w:val="24"/>
          <w:szCs w:val="24"/>
          <w:lang w:eastAsia="hr-HR"/>
        </w:rPr>
        <w:t xml:space="preserve"> samouprave</w:t>
      </w:r>
      <w:r w:rsidRPr="001E4E40">
        <w:rPr>
          <w:rFonts w:eastAsia="Times New Roman" w:cs="Times New Roman"/>
          <w:sz w:val="24"/>
          <w:szCs w:val="24"/>
          <w:lang w:eastAsia="hr-HR"/>
        </w:rPr>
        <w:t xml:space="preserve"> </w:t>
      </w:r>
      <w:r w:rsidRPr="001E4E40">
        <w:rPr>
          <w:rFonts w:eastAsia="Times New Roman" w:cs="Times New Roman"/>
          <w:b/>
          <w:sz w:val="24"/>
          <w:szCs w:val="24"/>
          <w:lang w:eastAsia="hr-HR"/>
        </w:rPr>
        <w:t xml:space="preserve">također nije potrebno </w:t>
      </w:r>
      <w:r w:rsidR="002765F5" w:rsidRPr="001E4E40">
        <w:rPr>
          <w:rFonts w:eastAsia="Times New Roman" w:cs="Times New Roman"/>
          <w:b/>
          <w:sz w:val="24"/>
          <w:szCs w:val="24"/>
          <w:lang w:eastAsia="hr-HR"/>
        </w:rPr>
        <w:t>dostavljati</w:t>
      </w:r>
      <w:r w:rsidR="002765F5" w:rsidRPr="001E4E40">
        <w:rPr>
          <w:rFonts w:eastAsia="Times New Roman" w:cs="Times New Roman"/>
          <w:sz w:val="24"/>
          <w:szCs w:val="24"/>
          <w:lang w:eastAsia="hr-HR"/>
        </w:rPr>
        <w:t xml:space="preserve"> </w:t>
      </w:r>
      <w:r w:rsidR="002765F5" w:rsidRPr="001E4E40">
        <w:rPr>
          <w:rFonts w:eastAsia="Times New Roman" w:cs="Times New Roman"/>
          <w:b/>
          <w:sz w:val="24"/>
          <w:szCs w:val="24"/>
          <w:lang w:eastAsia="hr-HR"/>
        </w:rPr>
        <w:t>u papirnatom obliku</w:t>
      </w:r>
      <w:r w:rsidR="002765F5" w:rsidRPr="001E4E40">
        <w:rPr>
          <w:rFonts w:eastAsia="Times New Roman" w:cs="Times New Roman"/>
          <w:sz w:val="24"/>
          <w:szCs w:val="24"/>
          <w:lang w:eastAsia="hr-HR"/>
        </w:rPr>
        <w:t xml:space="preserve"> putem pošte</w:t>
      </w:r>
      <w:r w:rsidR="00190B3A" w:rsidRPr="001E4E40">
        <w:rPr>
          <w:rFonts w:eastAsia="Times New Roman" w:cs="Times New Roman"/>
          <w:sz w:val="24"/>
          <w:szCs w:val="24"/>
          <w:lang w:eastAsia="hr-HR"/>
        </w:rPr>
        <w:t xml:space="preserve"> Ministarstvu financija, kao niti Državnom uredu za reviziju.</w:t>
      </w:r>
      <w:r w:rsidR="002765F5" w:rsidRPr="001E4E40">
        <w:rPr>
          <w:rFonts w:eastAsia="Times New Roman" w:cs="Times New Roman"/>
          <w:sz w:val="24"/>
          <w:szCs w:val="24"/>
          <w:lang w:eastAsia="hr-HR"/>
        </w:rPr>
        <w:t xml:space="preserve"> </w:t>
      </w:r>
      <w:r w:rsidR="00190B3A" w:rsidRPr="001E4E40">
        <w:rPr>
          <w:rFonts w:eastAsia="Times New Roman" w:cs="Times New Roman"/>
          <w:sz w:val="24"/>
          <w:szCs w:val="24"/>
          <w:lang w:eastAsia="hr-HR"/>
        </w:rPr>
        <w:t xml:space="preserve">Ministarstvu financija je potrebno na e-mail adresu </w:t>
      </w:r>
      <w:hyperlink r:id="rId15" w:history="1">
        <w:r w:rsidR="00012A69" w:rsidRPr="00AB02A0">
          <w:rPr>
            <w:rStyle w:val="Hyperlink"/>
            <w:rFonts w:eastAsia="Times New Roman"/>
            <w:sz w:val="24"/>
            <w:szCs w:val="24"/>
            <w:lang w:eastAsia="hr-HR"/>
          </w:rPr>
          <w:t>lokalni.proracuni@mfin.hr</w:t>
        </w:r>
      </w:hyperlink>
      <w:r w:rsidR="00190B3A" w:rsidRPr="001E4E40">
        <w:rPr>
          <w:rFonts w:eastAsia="Times New Roman" w:cs="Times New Roman"/>
          <w:sz w:val="24"/>
          <w:szCs w:val="24"/>
          <w:lang w:eastAsia="hr-HR"/>
        </w:rPr>
        <w:t xml:space="preserve"> dostaviti </w:t>
      </w:r>
      <w:r w:rsidR="002765F5" w:rsidRPr="001E4E40">
        <w:rPr>
          <w:rFonts w:eastAsia="Times New Roman" w:cs="Times New Roman"/>
          <w:b/>
          <w:sz w:val="24"/>
          <w:szCs w:val="24"/>
          <w:lang w:eastAsia="hr-HR"/>
        </w:rPr>
        <w:t>isključivo link</w:t>
      </w:r>
      <w:r w:rsidR="002765F5" w:rsidRPr="001E4E40">
        <w:rPr>
          <w:rFonts w:eastAsia="Times New Roman" w:cs="Times New Roman"/>
          <w:sz w:val="24"/>
          <w:szCs w:val="24"/>
          <w:lang w:eastAsia="hr-HR"/>
        </w:rPr>
        <w:t xml:space="preserve"> na internetsku stranicu jedinice lokalne i područne (regionalne) samouprave na kojoj je izvještaj objavljen</w:t>
      </w:r>
      <w:r w:rsidR="00EB3360" w:rsidRPr="001E4E40">
        <w:rPr>
          <w:rFonts w:eastAsia="Times New Roman" w:cs="Times New Roman"/>
          <w:sz w:val="24"/>
          <w:szCs w:val="24"/>
          <w:lang w:eastAsia="hr-HR"/>
        </w:rPr>
        <w:t xml:space="preserve">. </w:t>
      </w:r>
      <w:r w:rsidR="00190B3A" w:rsidRPr="001E4E40">
        <w:rPr>
          <w:rFonts w:eastAsia="Times New Roman" w:cs="Times New Roman"/>
          <w:sz w:val="24"/>
          <w:szCs w:val="24"/>
          <w:lang w:eastAsia="hr-HR"/>
        </w:rPr>
        <w:t>Državnom uredu za reviziju je podatak o linku potrebno dostaviti na e-</w:t>
      </w:r>
      <w:r w:rsidR="00D4554C" w:rsidRPr="001E4E40">
        <w:rPr>
          <w:rFonts w:eastAsia="Times New Roman" w:cs="Times New Roman"/>
          <w:sz w:val="24"/>
          <w:szCs w:val="24"/>
          <w:lang w:eastAsia="hr-HR"/>
        </w:rPr>
        <w:t>mail</w:t>
      </w:r>
      <w:r w:rsidR="00190B3A" w:rsidRPr="001E4E40">
        <w:rPr>
          <w:rFonts w:eastAsia="Times New Roman" w:cs="Times New Roman"/>
          <w:sz w:val="24"/>
          <w:szCs w:val="24"/>
          <w:lang w:eastAsia="hr-HR"/>
        </w:rPr>
        <w:t xml:space="preserve"> Državnog ureda za reviziju i to: Grad Zagreb na e-</w:t>
      </w:r>
      <w:r w:rsidR="00D4554C" w:rsidRPr="001E4E40">
        <w:rPr>
          <w:rFonts w:eastAsia="Times New Roman" w:cs="Times New Roman"/>
          <w:sz w:val="24"/>
          <w:szCs w:val="24"/>
          <w:lang w:eastAsia="hr-HR"/>
        </w:rPr>
        <w:t>mail</w:t>
      </w:r>
      <w:r w:rsidR="00190B3A" w:rsidRPr="001E4E40">
        <w:rPr>
          <w:rFonts w:eastAsia="Times New Roman" w:cs="Times New Roman"/>
          <w:sz w:val="24"/>
          <w:szCs w:val="24"/>
          <w:lang w:eastAsia="hr-HR"/>
        </w:rPr>
        <w:t xml:space="preserve"> Središnjeg ureda Državnog ureda za reviziju, dok su druge jedinice lokalne i područne (regionalne) samouprave obvezne dostaviti link izvještaja na e-</w:t>
      </w:r>
      <w:r w:rsidR="00D4554C" w:rsidRPr="001E4E40">
        <w:rPr>
          <w:rFonts w:eastAsia="Times New Roman" w:cs="Times New Roman"/>
          <w:sz w:val="24"/>
          <w:szCs w:val="24"/>
          <w:lang w:eastAsia="hr-HR"/>
        </w:rPr>
        <w:t>mail</w:t>
      </w:r>
      <w:r w:rsidR="00190B3A" w:rsidRPr="001E4E40">
        <w:rPr>
          <w:rFonts w:eastAsia="Times New Roman" w:cs="Times New Roman"/>
          <w:sz w:val="24"/>
          <w:szCs w:val="24"/>
          <w:lang w:eastAsia="hr-HR"/>
        </w:rPr>
        <w:t xml:space="preserve"> područnog ureda Državnog ureda za reviziju na čijem području je sjedište jedinice. Sve e-</w:t>
      </w:r>
      <w:r w:rsidR="00D4554C" w:rsidRPr="001E4E40">
        <w:rPr>
          <w:rFonts w:eastAsia="Times New Roman" w:cs="Times New Roman"/>
          <w:sz w:val="24"/>
          <w:szCs w:val="24"/>
          <w:lang w:eastAsia="hr-HR"/>
        </w:rPr>
        <w:t>mail</w:t>
      </w:r>
      <w:r w:rsidR="001955E3" w:rsidRPr="001E4E40">
        <w:rPr>
          <w:rFonts w:eastAsia="Times New Roman" w:cs="Times New Roman"/>
          <w:sz w:val="24"/>
          <w:szCs w:val="24"/>
          <w:lang w:eastAsia="hr-HR"/>
        </w:rPr>
        <w:t xml:space="preserve"> adrese</w:t>
      </w:r>
      <w:r w:rsidR="00190B3A" w:rsidRPr="001E4E40">
        <w:rPr>
          <w:rFonts w:eastAsia="Times New Roman" w:cs="Times New Roman"/>
          <w:sz w:val="24"/>
          <w:szCs w:val="24"/>
          <w:lang w:eastAsia="hr-HR"/>
        </w:rPr>
        <w:t xml:space="preserve"> su objavljene na mrežnoj stra</w:t>
      </w:r>
      <w:r w:rsidRPr="001E4E40">
        <w:rPr>
          <w:rFonts w:eastAsia="Times New Roman" w:cs="Times New Roman"/>
          <w:sz w:val="24"/>
          <w:szCs w:val="24"/>
          <w:lang w:eastAsia="hr-HR"/>
        </w:rPr>
        <w:t>nici Državnog ureda za reviziju</w:t>
      </w:r>
      <w:r w:rsidR="00012A69">
        <w:rPr>
          <w:rFonts w:eastAsia="Times New Roman" w:cs="Times New Roman"/>
          <w:sz w:val="24"/>
          <w:szCs w:val="24"/>
          <w:lang w:eastAsia="hr-HR"/>
        </w:rPr>
        <w:t xml:space="preserve"> </w:t>
      </w:r>
      <w:hyperlink r:id="rId16" w:history="1">
        <w:r w:rsidR="00012A69" w:rsidRPr="00AB02A0">
          <w:rPr>
            <w:rStyle w:val="Hyperlink"/>
            <w:rFonts w:eastAsia="Times New Roman"/>
            <w:sz w:val="24"/>
            <w:szCs w:val="24"/>
            <w:lang w:eastAsia="hr-HR"/>
          </w:rPr>
          <w:t>http://www.revizija.hr/hr/kontakt/</w:t>
        </w:r>
      </w:hyperlink>
      <w:r w:rsidR="00012A69" w:rsidRPr="00016648">
        <w:rPr>
          <w:rFonts w:eastAsia="Times New Roman" w:cs="Times New Roman"/>
          <w:sz w:val="24"/>
          <w:szCs w:val="24"/>
          <w:lang w:eastAsia="hr-HR"/>
        </w:rPr>
        <w:t>.</w:t>
      </w:r>
    </w:p>
    <w:p w14:paraId="2FF7E582" w14:textId="77777777" w:rsidR="00016648" w:rsidRDefault="00016648" w:rsidP="00012A69">
      <w:pPr>
        <w:spacing w:after="0" w:line="240" w:lineRule="auto"/>
        <w:jc w:val="both"/>
        <w:rPr>
          <w:rFonts w:eastAsia="Times New Roman" w:cs="Times New Roman"/>
          <w:sz w:val="24"/>
          <w:szCs w:val="24"/>
          <w:lang w:eastAsia="hr-HR"/>
        </w:rPr>
      </w:pPr>
    </w:p>
    <w:p w14:paraId="542C72F5" w14:textId="77777777" w:rsidR="00016648" w:rsidRPr="001E4E40" w:rsidRDefault="00016648" w:rsidP="00012A69">
      <w:pPr>
        <w:spacing w:after="0" w:line="240" w:lineRule="auto"/>
        <w:jc w:val="both"/>
        <w:rPr>
          <w:rFonts w:eastAsia="Times New Roman" w:cs="Times New Roman"/>
          <w:sz w:val="24"/>
          <w:szCs w:val="24"/>
          <w:lang w:eastAsia="hr-HR"/>
        </w:rPr>
      </w:pPr>
    </w:p>
    <w:p w14:paraId="79D30404" w14:textId="4F4FE31A" w:rsidR="00D573FF" w:rsidRPr="001E4E40" w:rsidRDefault="00654042" w:rsidP="00012A69">
      <w:pPr>
        <w:keepNext/>
        <w:keepLines/>
        <w:numPr>
          <w:ilvl w:val="1"/>
          <w:numId w:val="2"/>
        </w:numPr>
        <w:spacing w:after="0" w:line="240" w:lineRule="auto"/>
        <w:jc w:val="both"/>
        <w:outlineLvl w:val="1"/>
        <w:rPr>
          <w:rFonts w:eastAsiaTheme="majorEastAsia" w:cstheme="majorBidi"/>
          <w:b/>
          <w:bCs/>
          <w:sz w:val="24"/>
          <w:szCs w:val="24"/>
        </w:rPr>
      </w:pPr>
      <w:bookmarkStart w:id="19" w:name="_Toc18594178"/>
      <w:r w:rsidRPr="001E4E40">
        <w:rPr>
          <w:rFonts w:eastAsiaTheme="majorEastAsia" w:cstheme="majorBidi"/>
          <w:b/>
          <w:bCs/>
          <w:sz w:val="24"/>
          <w:szCs w:val="24"/>
        </w:rPr>
        <w:t xml:space="preserve">Dostava ugovora o zaduženju </w:t>
      </w:r>
      <w:r w:rsidR="00016648">
        <w:rPr>
          <w:rFonts w:eastAsiaTheme="majorEastAsia" w:cstheme="majorBidi"/>
          <w:b/>
          <w:bCs/>
          <w:sz w:val="24"/>
          <w:szCs w:val="24"/>
        </w:rPr>
        <w:t>te</w:t>
      </w:r>
      <w:r w:rsidRPr="001E4E40">
        <w:rPr>
          <w:rFonts w:eastAsiaTheme="majorEastAsia" w:cstheme="majorBidi"/>
          <w:b/>
          <w:bCs/>
          <w:sz w:val="24"/>
          <w:szCs w:val="24"/>
        </w:rPr>
        <w:t xml:space="preserve"> izvješća o zaduženju, danim jamstvima i suglasnostima (Obrazac IZJS)</w:t>
      </w:r>
      <w:bookmarkEnd w:id="19"/>
    </w:p>
    <w:p w14:paraId="6179047B" w14:textId="77777777" w:rsidR="00D573FF" w:rsidRPr="00BF07A4" w:rsidRDefault="00D573FF" w:rsidP="00BF07A4">
      <w:pPr>
        <w:spacing w:after="0" w:line="240" w:lineRule="auto"/>
        <w:jc w:val="both"/>
        <w:rPr>
          <w:rFonts w:eastAsia="Times New Roman" w:cs="Times New Roman"/>
          <w:sz w:val="24"/>
          <w:szCs w:val="24"/>
          <w:lang w:eastAsia="hr-HR"/>
        </w:rPr>
      </w:pPr>
    </w:p>
    <w:p w14:paraId="5EB7BF4C" w14:textId="34FD0858" w:rsidR="00654042" w:rsidRPr="001E4E40" w:rsidRDefault="00654042" w:rsidP="00012A69">
      <w:pPr>
        <w:spacing w:after="0" w:line="240" w:lineRule="auto"/>
        <w:jc w:val="both"/>
        <w:rPr>
          <w:rFonts w:eastAsia="Times New Roman" w:cs="Times New Roman"/>
          <w:sz w:val="24"/>
          <w:szCs w:val="24"/>
          <w:lang w:eastAsia="hr-HR"/>
        </w:rPr>
      </w:pPr>
      <w:r w:rsidRPr="001E4E40">
        <w:rPr>
          <w:rFonts w:eastAsia="Times New Roman" w:cs="Times New Roman"/>
          <w:sz w:val="24"/>
          <w:szCs w:val="24"/>
          <w:lang w:eastAsia="hr-HR"/>
        </w:rPr>
        <w:t xml:space="preserve">Zakonom o proračunu propisana je obveza i rok dostave </w:t>
      </w:r>
      <w:r w:rsidR="00564F0A" w:rsidRPr="001E4E40">
        <w:rPr>
          <w:rFonts w:eastAsia="Times New Roman" w:cs="Times New Roman"/>
          <w:sz w:val="24"/>
          <w:szCs w:val="24"/>
          <w:lang w:eastAsia="hr-HR"/>
        </w:rPr>
        <w:t xml:space="preserve">Ministarstvu financija </w:t>
      </w:r>
      <w:r w:rsidRPr="001E4E40">
        <w:rPr>
          <w:rFonts w:eastAsia="Times New Roman" w:cs="Times New Roman"/>
          <w:sz w:val="24"/>
          <w:szCs w:val="24"/>
          <w:lang w:eastAsia="hr-HR"/>
        </w:rPr>
        <w:t xml:space="preserve">ugovora o zaduženju te izvješća o zaduženju, danim jamstvima i suglasnostima </w:t>
      </w:r>
      <w:r w:rsidR="00564F0A">
        <w:rPr>
          <w:rFonts w:eastAsia="Times New Roman" w:cs="Times New Roman"/>
          <w:sz w:val="24"/>
          <w:szCs w:val="24"/>
          <w:lang w:eastAsia="hr-HR"/>
        </w:rPr>
        <w:t>na</w:t>
      </w:r>
      <w:r w:rsidRPr="001E4E40">
        <w:rPr>
          <w:rFonts w:eastAsia="Times New Roman" w:cs="Times New Roman"/>
          <w:sz w:val="24"/>
          <w:szCs w:val="24"/>
          <w:lang w:eastAsia="hr-HR"/>
        </w:rPr>
        <w:t xml:space="preserve"> Obrasc</w:t>
      </w:r>
      <w:r w:rsidR="00564F0A">
        <w:rPr>
          <w:rFonts w:eastAsia="Times New Roman" w:cs="Times New Roman"/>
          <w:sz w:val="24"/>
          <w:szCs w:val="24"/>
          <w:lang w:eastAsia="hr-HR"/>
        </w:rPr>
        <w:t>u</w:t>
      </w:r>
      <w:r w:rsidRPr="001E4E40">
        <w:rPr>
          <w:rFonts w:eastAsia="Times New Roman" w:cs="Times New Roman"/>
          <w:sz w:val="24"/>
          <w:szCs w:val="24"/>
          <w:lang w:eastAsia="hr-HR"/>
        </w:rPr>
        <w:t xml:space="preserve"> IZJS. </w:t>
      </w:r>
      <w:r w:rsidRPr="001E4E40">
        <w:rPr>
          <w:rFonts w:eastAsia="Times New Roman" w:cs="Times New Roman"/>
          <w:sz w:val="24"/>
          <w:szCs w:val="24"/>
          <w:lang w:eastAsia="hr-HR"/>
        </w:rPr>
        <w:lastRenderedPageBreak/>
        <w:t xml:space="preserve">Skenirani ugovori i Obrasci IZJS (potpis župana/gradonačelnika/načelnika i pečat) dostavljaju se na e-mail adresu Ministarstva financija </w:t>
      </w:r>
      <w:hyperlink r:id="rId17" w:history="1">
        <w:r w:rsidR="00012A69" w:rsidRPr="00AB02A0">
          <w:rPr>
            <w:rStyle w:val="Hyperlink"/>
            <w:rFonts w:eastAsia="Times New Roman"/>
            <w:sz w:val="24"/>
            <w:szCs w:val="24"/>
            <w:lang w:eastAsia="hr-HR"/>
          </w:rPr>
          <w:t>lokalni.proracuni@mfin.hr</w:t>
        </w:r>
      </w:hyperlink>
      <w:r w:rsidRPr="001E4E40">
        <w:rPr>
          <w:rFonts w:eastAsia="Times New Roman" w:cs="Times New Roman"/>
          <w:sz w:val="24"/>
          <w:szCs w:val="24"/>
          <w:lang w:eastAsia="hr-HR"/>
        </w:rPr>
        <w:t xml:space="preserve"> u propisanom roku.</w:t>
      </w:r>
    </w:p>
    <w:p w14:paraId="350796C0" w14:textId="77777777" w:rsidR="00654042" w:rsidRPr="00BF07A4" w:rsidRDefault="00654042" w:rsidP="00BF07A4">
      <w:pPr>
        <w:spacing w:after="0" w:line="240" w:lineRule="auto"/>
        <w:jc w:val="both"/>
        <w:rPr>
          <w:rFonts w:eastAsia="Times New Roman" w:cs="Times New Roman"/>
          <w:sz w:val="24"/>
          <w:szCs w:val="24"/>
          <w:lang w:eastAsia="hr-HR"/>
        </w:rPr>
      </w:pPr>
    </w:p>
    <w:p w14:paraId="1D64723F" w14:textId="77777777" w:rsidR="00012A69" w:rsidRPr="00BF07A4" w:rsidRDefault="00012A69" w:rsidP="00BF07A4">
      <w:pPr>
        <w:spacing w:after="0" w:line="240" w:lineRule="auto"/>
        <w:jc w:val="both"/>
        <w:rPr>
          <w:rFonts w:eastAsia="Times New Roman" w:cs="Times New Roman"/>
          <w:sz w:val="24"/>
          <w:szCs w:val="24"/>
          <w:lang w:eastAsia="hr-HR"/>
        </w:rPr>
      </w:pPr>
    </w:p>
    <w:p w14:paraId="2B210123" w14:textId="77777777" w:rsidR="00682602" w:rsidRPr="001E4E40" w:rsidRDefault="0017391E" w:rsidP="003155AD">
      <w:pPr>
        <w:keepNext/>
        <w:keepLines/>
        <w:numPr>
          <w:ilvl w:val="1"/>
          <w:numId w:val="2"/>
        </w:numPr>
        <w:spacing w:after="0" w:line="240" w:lineRule="auto"/>
        <w:ind w:left="1077"/>
        <w:jc w:val="both"/>
        <w:outlineLvl w:val="1"/>
        <w:rPr>
          <w:rFonts w:eastAsiaTheme="majorEastAsia" w:cstheme="majorBidi"/>
          <w:b/>
          <w:bCs/>
          <w:sz w:val="24"/>
          <w:szCs w:val="24"/>
        </w:rPr>
      </w:pPr>
      <w:bookmarkStart w:id="20" w:name="_Toc18594179"/>
      <w:r w:rsidRPr="001E4E40">
        <w:rPr>
          <w:rFonts w:eastAsiaTheme="majorEastAsia" w:cstheme="majorBidi"/>
          <w:b/>
          <w:bCs/>
          <w:sz w:val="24"/>
          <w:szCs w:val="24"/>
        </w:rPr>
        <w:t>Unos podataka iz proračuna jedinica u web aplikaciju za statističke potrebe</w:t>
      </w:r>
      <w:bookmarkEnd w:id="20"/>
      <w:r w:rsidRPr="001E4E40">
        <w:rPr>
          <w:rFonts w:eastAsiaTheme="majorEastAsia" w:cstheme="majorBidi"/>
          <w:b/>
          <w:bCs/>
          <w:sz w:val="24"/>
          <w:szCs w:val="24"/>
        </w:rPr>
        <w:t xml:space="preserve"> </w:t>
      </w:r>
    </w:p>
    <w:p w14:paraId="2C3572B5" w14:textId="77777777" w:rsidR="0017391E" w:rsidRPr="001E4E40" w:rsidRDefault="0017391E" w:rsidP="003155AD">
      <w:pPr>
        <w:pStyle w:val="ListParagraph"/>
        <w:keepNext/>
        <w:ind w:left="1077"/>
        <w:rPr>
          <w:iCs/>
        </w:rPr>
      </w:pPr>
    </w:p>
    <w:p w14:paraId="197E5F2D" w14:textId="77777777" w:rsidR="00682602" w:rsidRPr="007F1DE2" w:rsidRDefault="003E6DA8" w:rsidP="00012A69">
      <w:pPr>
        <w:spacing w:after="0" w:line="240" w:lineRule="auto"/>
        <w:jc w:val="both"/>
        <w:rPr>
          <w:rFonts w:eastAsia="Times New Roman"/>
          <w:sz w:val="24"/>
          <w:szCs w:val="24"/>
        </w:rPr>
      </w:pPr>
      <w:r w:rsidRPr="007F1DE2">
        <w:rPr>
          <w:rFonts w:eastAsia="Times New Roman"/>
          <w:sz w:val="24"/>
          <w:szCs w:val="24"/>
        </w:rPr>
        <w:t>Za potrebe statističkog praćenja, u posebnu web aplikacij</w:t>
      </w:r>
      <w:r w:rsidR="00277C2F" w:rsidRPr="007F1DE2">
        <w:rPr>
          <w:rFonts w:eastAsia="Times New Roman"/>
          <w:sz w:val="24"/>
          <w:szCs w:val="24"/>
        </w:rPr>
        <w:t>u</w:t>
      </w:r>
      <w:r w:rsidRPr="007F1DE2">
        <w:rPr>
          <w:rFonts w:eastAsia="Times New Roman"/>
          <w:sz w:val="24"/>
          <w:szCs w:val="24"/>
        </w:rPr>
        <w:t xml:space="preserve"> Ministarstva financija</w:t>
      </w:r>
      <w:r w:rsidR="00F53F03" w:rsidRPr="007F1DE2">
        <w:rPr>
          <w:rFonts w:eastAsia="Times New Roman"/>
          <w:sz w:val="24"/>
          <w:szCs w:val="24"/>
        </w:rPr>
        <w:t xml:space="preserve"> „Financijski planovi JLP(R)S“</w:t>
      </w:r>
      <w:r w:rsidRPr="007F1DE2">
        <w:rPr>
          <w:rFonts w:eastAsia="Times New Roman"/>
          <w:sz w:val="24"/>
          <w:szCs w:val="24"/>
        </w:rPr>
        <w:t xml:space="preserve"> (raspoloživu na</w:t>
      </w:r>
      <w:r w:rsidR="00F53F03" w:rsidRPr="007F1DE2">
        <w:rPr>
          <w:rFonts w:eastAsia="Times New Roman"/>
          <w:sz w:val="24"/>
          <w:szCs w:val="24"/>
        </w:rPr>
        <w:t xml:space="preserve"> stranci: </w:t>
      </w:r>
      <w:hyperlink r:id="rId18" w:tgtFrame="_blank" w:history="1">
        <w:r w:rsidR="001618C8" w:rsidRPr="007F1DE2">
          <w:rPr>
            <w:rFonts w:eastAsia="Times New Roman" w:cs="Times New Roman"/>
            <w:color w:val="0000FF"/>
            <w:sz w:val="24"/>
            <w:szCs w:val="24"/>
            <w:u w:val="single"/>
            <w:lang w:eastAsia="hr-HR"/>
          </w:rPr>
          <w:t>https://www3.apis-it.hr/wab/servlet/proweb/webjlprs/LogIN</w:t>
        </w:r>
      </w:hyperlink>
      <w:r w:rsidRPr="007F1DE2">
        <w:rPr>
          <w:rFonts w:eastAsia="Times New Roman"/>
          <w:sz w:val="24"/>
          <w:szCs w:val="24"/>
        </w:rPr>
        <w:t>)</w:t>
      </w:r>
      <w:r w:rsidR="000073E7" w:rsidRPr="007F1DE2">
        <w:rPr>
          <w:rFonts w:eastAsia="Times New Roman"/>
          <w:sz w:val="24"/>
          <w:szCs w:val="24"/>
        </w:rPr>
        <w:t xml:space="preserve"> jedinice, kao i prethodnih godina, </w:t>
      </w:r>
      <w:r w:rsidR="00682602" w:rsidRPr="007F1DE2">
        <w:rPr>
          <w:rFonts w:eastAsia="Times New Roman"/>
          <w:sz w:val="24"/>
          <w:szCs w:val="24"/>
        </w:rPr>
        <w:t>unos</w:t>
      </w:r>
      <w:r w:rsidR="000073E7" w:rsidRPr="007F1DE2">
        <w:rPr>
          <w:rFonts w:eastAsia="Times New Roman"/>
          <w:sz w:val="24"/>
          <w:szCs w:val="24"/>
        </w:rPr>
        <w:t>e</w:t>
      </w:r>
      <w:r w:rsidR="00682602" w:rsidRPr="007F1DE2">
        <w:rPr>
          <w:rFonts w:eastAsia="Times New Roman"/>
          <w:sz w:val="24"/>
          <w:szCs w:val="24"/>
        </w:rPr>
        <w:t xml:space="preserve"> poda</w:t>
      </w:r>
      <w:r w:rsidR="000073E7" w:rsidRPr="007F1DE2">
        <w:rPr>
          <w:rFonts w:eastAsia="Times New Roman"/>
          <w:sz w:val="24"/>
          <w:szCs w:val="24"/>
        </w:rPr>
        <w:t>tke</w:t>
      </w:r>
      <w:r w:rsidR="00682602" w:rsidRPr="007F1DE2">
        <w:rPr>
          <w:rFonts w:eastAsia="Times New Roman"/>
          <w:sz w:val="24"/>
          <w:szCs w:val="24"/>
        </w:rPr>
        <w:t xml:space="preserve"> iz dokumenata:</w:t>
      </w:r>
    </w:p>
    <w:p w14:paraId="2015F786" w14:textId="77777777" w:rsidR="00682602" w:rsidRPr="007F1DE2" w:rsidRDefault="00682602" w:rsidP="00012A69">
      <w:pPr>
        <w:numPr>
          <w:ilvl w:val="0"/>
          <w:numId w:val="17"/>
        </w:numPr>
        <w:spacing w:after="0" w:line="240" w:lineRule="auto"/>
        <w:jc w:val="both"/>
        <w:rPr>
          <w:rFonts w:eastAsia="Times New Roman" w:cs="Times New Roman"/>
          <w:sz w:val="24"/>
          <w:szCs w:val="24"/>
          <w:lang w:eastAsia="hr-HR"/>
        </w:rPr>
      </w:pPr>
      <w:r w:rsidRPr="007F1DE2">
        <w:rPr>
          <w:rFonts w:cs="Times New Roman"/>
          <w:sz w:val="24"/>
          <w:szCs w:val="24"/>
          <w:lang w:eastAsia="hr-HR"/>
        </w:rPr>
        <w:t>proračuna za 20</w:t>
      </w:r>
      <w:r w:rsidR="00F4602F" w:rsidRPr="007F1DE2">
        <w:rPr>
          <w:rFonts w:cs="Times New Roman"/>
          <w:sz w:val="24"/>
          <w:szCs w:val="24"/>
          <w:lang w:eastAsia="hr-HR"/>
        </w:rPr>
        <w:t>20</w:t>
      </w:r>
      <w:r w:rsidR="002F5A5C" w:rsidRPr="007F1DE2">
        <w:rPr>
          <w:rFonts w:cs="Times New Roman"/>
          <w:sz w:val="24"/>
          <w:szCs w:val="24"/>
          <w:lang w:eastAsia="hr-HR"/>
        </w:rPr>
        <w:t>. i projekcija za 202</w:t>
      </w:r>
      <w:r w:rsidR="00F4602F" w:rsidRPr="007F1DE2">
        <w:rPr>
          <w:rFonts w:cs="Times New Roman"/>
          <w:sz w:val="24"/>
          <w:szCs w:val="24"/>
          <w:lang w:eastAsia="hr-HR"/>
        </w:rPr>
        <w:t>1</w:t>
      </w:r>
      <w:r w:rsidRPr="007F1DE2">
        <w:rPr>
          <w:rFonts w:cs="Times New Roman"/>
          <w:sz w:val="24"/>
          <w:szCs w:val="24"/>
          <w:lang w:eastAsia="hr-HR"/>
        </w:rPr>
        <w:t>. i 20</w:t>
      </w:r>
      <w:r w:rsidR="002F5A5C" w:rsidRPr="007F1DE2">
        <w:rPr>
          <w:rFonts w:cs="Times New Roman"/>
          <w:sz w:val="24"/>
          <w:szCs w:val="24"/>
          <w:lang w:eastAsia="hr-HR"/>
        </w:rPr>
        <w:t>2</w:t>
      </w:r>
      <w:r w:rsidR="00F4602F" w:rsidRPr="007F1DE2">
        <w:rPr>
          <w:rFonts w:cs="Times New Roman"/>
          <w:sz w:val="24"/>
          <w:szCs w:val="24"/>
          <w:lang w:eastAsia="hr-HR"/>
        </w:rPr>
        <w:t>2</w:t>
      </w:r>
      <w:r w:rsidRPr="007F1DE2">
        <w:rPr>
          <w:rFonts w:cs="Times New Roman"/>
          <w:sz w:val="24"/>
          <w:szCs w:val="24"/>
          <w:lang w:eastAsia="hr-HR"/>
        </w:rPr>
        <w:t>.,</w:t>
      </w:r>
      <w:r w:rsidRPr="007F1DE2">
        <w:rPr>
          <w:rFonts w:eastAsia="Times New Roman" w:cs="Times New Roman"/>
          <w:sz w:val="24"/>
          <w:szCs w:val="24"/>
          <w:lang w:eastAsia="hr-HR"/>
        </w:rPr>
        <w:t xml:space="preserve"> </w:t>
      </w:r>
    </w:p>
    <w:p w14:paraId="05C58FAC" w14:textId="77777777" w:rsidR="00F53F03" w:rsidRPr="007F1DE2" w:rsidRDefault="00F53F03" w:rsidP="00012A69">
      <w:pPr>
        <w:numPr>
          <w:ilvl w:val="0"/>
          <w:numId w:val="17"/>
        </w:numPr>
        <w:spacing w:after="0" w:line="240" w:lineRule="auto"/>
        <w:jc w:val="both"/>
        <w:rPr>
          <w:rFonts w:eastAsia="Times New Roman" w:cs="Times New Roman"/>
          <w:sz w:val="24"/>
          <w:szCs w:val="24"/>
          <w:lang w:eastAsia="hr-HR"/>
        </w:rPr>
      </w:pPr>
      <w:r w:rsidRPr="007F1DE2">
        <w:rPr>
          <w:rFonts w:cs="Times New Roman"/>
          <w:sz w:val="24"/>
          <w:szCs w:val="24"/>
          <w:lang w:eastAsia="hr-HR"/>
        </w:rPr>
        <w:t>privremenog financiranja za 20</w:t>
      </w:r>
      <w:r w:rsidR="00F4602F" w:rsidRPr="007F1DE2">
        <w:rPr>
          <w:rFonts w:cs="Times New Roman"/>
          <w:sz w:val="24"/>
          <w:szCs w:val="24"/>
          <w:lang w:eastAsia="hr-HR"/>
        </w:rPr>
        <w:t>20</w:t>
      </w:r>
      <w:r w:rsidRPr="007F1DE2">
        <w:rPr>
          <w:rFonts w:cs="Times New Roman"/>
          <w:sz w:val="24"/>
          <w:szCs w:val="24"/>
          <w:lang w:eastAsia="hr-HR"/>
        </w:rPr>
        <w:t>.</w:t>
      </w:r>
      <w:r w:rsidR="0017391E" w:rsidRPr="007F1DE2">
        <w:rPr>
          <w:rFonts w:cs="Times New Roman"/>
          <w:sz w:val="24"/>
          <w:szCs w:val="24"/>
          <w:lang w:eastAsia="hr-HR"/>
        </w:rPr>
        <w:t xml:space="preserve"> (u slučaju donošenja odluke o privremenom financiranju) i</w:t>
      </w:r>
    </w:p>
    <w:p w14:paraId="0725719C" w14:textId="77777777" w:rsidR="001575B9" w:rsidRPr="007F1DE2" w:rsidRDefault="00682602" w:rsidP="00012A69">
      <w:pPr>
        <w:numPr>
          <w:ilvl w:val="0"/>
          <w:numId w:val="17"/>
        </w:numPr>
        <w:spacing w:after="0" w:line="240" w:lineRule="auto"/>
        <w:jc w:val="both"/>
        <w:rPr>
          <w:rFonts w:eastAsia="Times New Roman" w:cs="Times New Roman"/>
          <w:sz w:val="24"/>
          <w:szCs w:val="24"/>
          <w:lang w:eastAsia="hr-HR"/>
        </w:rPr>
      </w:pPr>
      <w:r w:rsidRPr="007F1DE2">
        <w:rPr>
          <w:rFonts w:cs="Times New Roman"/>
          <w:sz w:val="24"/>
          <w:szCs w:val="24"/>
          <w:lang w:eastAsia="hr-HR"/>
        </w:rPr>
        <w:t>svih iz</w:t>
      </w:r>
      <w:r w:rsidR="002F5A5C" w:rsidRPr="007F1DE2">
        <w:rPr>
          <w:rFonts w:cs="Times New Roman"/>
          <w:sz w:val="24"/>
          <w:szCs w:val="24"/>
          <w:lang w:eastAsia="hr-HR"/>
        </w:rPr>
        <w:t>mjena i dopuna proračuna za 20</w:t>
      </w:r>
      <w:r w:rsidR="00F4602F" w:rsidRPr="007F1DE2">
        <w:rPr>
          <w:rFonts w:cs="Times New Roman"/>
          <w:sz w:val="24"/>
          <w:szCs w:val="24"/>
          <w:lang w:eastAsia="hr-HR"/>
        </w:rPr>
        <w:t>20</w:t>
      </w:r>
      <w:r w:rsidRPr="007F1DE2">
        <w:rPr>
          <w:rFonts w:cs="Times New Roman"/>
          <w:sz w:val="24"/>
          <w:szCs w:val="24"/>
          <w:lang w:eastAsia="hr-HR"/>
        </w:rPr>
        <w:t>.</w:t>
      </w:r>
    </w:p>
    <w:p w14:paraId="42842305" w14:textId="77777777" w:rsidR="000073E7" w:rsidRPr="007F1DE2" w:rsidRDefault="000073E7" w:rsidP="00012A69">
      <w:pPr>
        <w:pStyle w:val="NormalWeb"/>
        <w:jc w:val="both"/>
        <w:rPr>
          <w:rFonts w:asciiTheme="minorHAnsi" w:eastAsia="Times New Roman" w:hAnsiTheme="minorHAnsi"/>
        </w:rPr>
      </w:pPr>
    </w:p>
    <w:p w14:paraId="62405D3E" w14:textId="77777777" w:rsidR="00682602" w:rsidRPr="007F1DE2" w:rsidRDefault="002F5A5C" w:rsidP="00012A69">
      <w:pPr>
        <w:pStyle w:val="NormalWeb"/>
        <w:jc w:val="both"/>
        <w:rPr>
          <w:rFonts w:asciiTheme="minorHAnsi" w:eastAsia="Times New Roman" w:hAnsiTheme="minorHAnsi"/>
        </w:rPr>
      </w:pPr>
      <w:r w:rsidRPr="007F1DE2">
        <w:rPr>
          <w:rFonts w:asciiTheme="minorHAnsi" w:eastAsia="Times New Roman" w:hAnsiTheme="minorHAnsi"/>
        </w:rPr>
        <w:t>Sve</w:t>
      </w:r>
      <w:r w:rsidR="00682602" w:rsidRPr="007F1DE2">
        <w:rPr>
          <w:rFonts w:asciiTheme="minorHAnsi" w:eastAsia="Times New Roman" w:hAnsiTheme="minorHAnsi"/>
        </w:rPr>
        <w:t xml:space="preserve"> </w:t>
      </w:r>
      <w:r w:rsidR="0017391E" w:rsidRPr="007F1DE2">
        <w:rPr>
          <w:rFonts w:asciiTheme="minorHAnsi" w:eastAsia="Times New Roman" w:hAnsiTheme="minorHAnsi"/>
        </w:rPr>
        <w:t>podatke</w:t>
      </w:r>
      <w:r w:rsidR="00682602" w:rsidRPr="007F1DE2">
        <w:rPr>
          <w:rFonts w:asciiTheme="minorHAnsi" w:eastAsia="Times New Roman" w:hAnsiTheme="minorHAnsi"/>
        </w:rPr>
        <w:t xml:space="preserve"> u aplikaciju treba </w:t>
      </w:r>
      <w:r w:rsidR="0017391E" w:rsidRPr="007F1DE2">
        <w:rPr>
          <w:rFonts w:asciiTheme="minorHAnsi" w:eastAsia="Times New Roman" w:hAnsiTheme="minorHAnsi"/>
        </w:rPr>
        <w:t>unositi</w:t>
      </w:r>
      <w:r w:rsidR="00682602" w:rsidRPr="007F1DE2">
        <w:rPr>
          <w:rFonts w:asciiTheme="minorHAnsi" w:eastAsia="Times New Roman" w:hAnsiTheme="minorHAnsi"/>
        </w:rPr>
        <w:t xml:space="preserve"> kontinuirano, najkasnije </w:t>
      </w:r>
      <w:r w:rsidR="00AC5975" w:rsidRPr="007F1DE2">
        <w:rPr>
          <w:rFonts w:asciiTheme="minorHAnsi" w:eastAsia="Times New Roman" w:hAnsiTheme="minorHAnsi"/>
        </w:rPr>
        <w:t>15</w:t>
      </w:r>
      <w:r w:rsidR="0017391E" w:rsidRPr="007F1DE2">
        <w:rPr>
          <w:rFonts w:asciiTheme="minorHAnsi" w:eastAsia="Times New Roman" w:hAnsiTheme="minorHAnsi"/>
        </w:rPr>
        <w:t xml:space="preserve"> dana od dana stupanja na snagu </w:t>
      </w:r>
      <w:r w:rsidR="00682602" w:rsidRPr="007F1DE2">
        <w:rPr>
          <w:rFonts w:asciiTheme="minorHAnsi" w:eastAsia="Times New Roman" w:hAnsiTheme="minorHAnsi"/>
        </w:rPr>
        <w:t xml:space="preserve">svakog pojedinog dokumenta planiranja. </w:t>
      </w:r>
    </w:p>
    <w:p w14:paraId="5A45F8FA" w14:textId="77777777" w:rsidR="000073E7" w:rsidRPr="007F1DE2" w:rsidRDefault="000073E7" w:rsidP="00012A69">
      <w:pPr>
        <w:pStyle w:val="NormalWeb"/>
        <w:jc w:val="both"/>
        <w:rPr>
          <w:rFonts w:asciiTheme="minorHAnsi" w:eastAsia="Times New Roman" w:hAnsiTheme="minorHAnsi"/>
        </w:rPr>
      </w:pPr>
    </w:p>
    <w:p w14:paraId="26B44625" w14:textId="5D5B9E74" w:rsidR="00D90518" w:rsidRPr="00012A69" w:rsidRDefault="000073E7" w:rsidP="00012A69">
      <w:pPr>
        <w:pStyle w:val="NormalWeb"/>
        <w:jc w:val="both"/>
        <w:rPr>
          <w:rFonts w:asciiTheme="minorHAnsi" w:eastAsia="Times New Roman" w:hAnsiTheme="minorHAnsi"/>
          <w:highlight w:val="yellow"/>
        </w:rPr>
      </w:pPr>
      <w:bookmarkStart w:id="21" w:name="_Toc18486190"/>
      <w:r w:rsidRPr="007F1DE2">
        <w:rPr>
          <w:rFonts w:asciiTheme="minorHAnsi" w:eastAsia="Times New Roman" w:hAnsiTheme="minorHAnsi"/>
        </w:rPr>
        <w:t>Upute za pristup i korištenje aplikacije dostupne su na mrežnoj stranici Ministarstva financija, na adresi</w:t>
      </w:r>
      <w:r w:rsidR="00012A69" w:rsidRPr="007F1DE2">
        <w:rPr>
          <w:rFonts w:asciiTheme="minorHAnsi" w:eastAsia="Times New Roman" w:hAnsiTheme="minorHAnsi"/>
        </w:rPr>
        <w:t xml:space="preserve"> </w:t>
      </w:r>
      <w:hyperlink r:id="rId19" w:history="1">
        <w:r w:rsidR="00012A69" w:rsidRPr="007F1DE2">
          <w:rPr>
            <w:rStyle w:val="Hyperlink"/>
            <w:rFonts w:asciiTheme="minorHAnsi" w:eastAsia="Times New Roman" w:hAnsiTheme="minorHAnsi"/>
          </w:rPr>
          <w:t>http://www.mfin.hr/hr/elektronicka-dostava-planova-proracuna-jlprs-upute</w:t>
        </w:r>
      </w:hyperlink>
      <w:r w:rsidR="00D90518" w:rsidRPr="00016648">
        <w:rPr>
          <w:rFonts w:asciiTheme="minorHAnsi" w:eastAsia="Times New Roman" w:hAnsiTheme="minorHAnsi"/>
        </w:rPr>
        <w:t>.</w:t>
      </w:r>
      <w:bookmarkEnd w:id="21"/>
    </w:p>
    <w:p w14:paraId="7781C642" w14:textId="77777777" w:rsidR="004D1F5C" w:rsidRPr="00012A69" w:rsidRDefault="004D1F5C" w:rsidP="00012A69">
      <w:pPr>
        <w:pStyle w:val="NormalWeb"/>
        <w:jc w:val="both"/>
        <w:rPr>
          <w:rFonts w:asciiTheme="minorHAnsi" w:eastAsia="Times New Roman" w:hAnsiTheme="minorHAnsi"/>
          <w:highlight w:val="yellow"/>
        </w:rPr>
      </w:pPr>
    </w:p>
    <w:p w14:paraId="04FEB0F3" w14:textId="77777777" w:rsidR="00035DBB" w:rsidRPr="001E4E40" w:rsidRDefault="00035DBB" w:rsidP="00DC06D2">
      <w:pPr>
        <w:keepNext/>
        <w:keepLines/>
        <w:numPr>
          <w:ilvl w:val="0"/>
          <w:numId w:val="2"/>
        </w:numPr>
        <w:spacing w:before="480" w:after="0" w:line="240" w:lineRule="auto"/>
        <w:ind w:left="714" w:hanging="357"/>
        <w:jc w:val="both"/>
        <w:outlineLvl w:val="0"/>
        <w:rPr>
          <w:rFonts w:eastAsiaTheme="majorEastAsia" w:cstheme="majorBidi"/>
          <w:b/>
          <w:bCs/>
          <w:sz w:val="28"/>
          <w:szCs w:val="24"/>
          <w:lang w:eastAsia="hr-HR"/>
        </w:rPr>
      </w:pPr>
      <w:bookmarkStart w:id="22" w:name="_Toc18594180"/>
      <w:r w:rsidRPr="001E4E40">
        <w:rPr>
          <w:rFonts w:eastAsiaTheme="majorEastAsia" w:cstheme="majorBidi"/>
          <w:b/>
          <w:bCs/>
          <w:sz w:val="28"/>
          <w:szCs w:val="24"/>
          <w:lang w:eastAsia="hr-HR"/>
        </w:rPr>
        <w:t>PLANIRANJE RASHODA PRORAČUNSKIH KORISNIKA U SKLOPU DECENTRALIZIRANIH FUNKCIJA</w:t>
      </w:r>
      <w:bookmarkEnd w:id="22"/>
    </w:p>
    <w:p w14:paraId="0B6DE8D2" w14:textId="77777777" w:rsidR="000E4EFC" w:rsidRPr="001E4E40" w:rsidRDefault="000E4EFC" w:rsidP="00012A69">
      <w:pPr>
        <w:spacing w:after="0" w:line="240" w:lineRule="auto"/>
        <w:jc w:val="both"/>
        <w:rPr>
          <w:rFonts w:eastAsia="Times New Roman" w:cs="Times New Roman"/>
          <w:sz w:val="24"/>
          <w:szCs w:val="24"/>
          <w:lang w:eastAsia="hr-HR"/>
        </w:rPr>
      </w:pPr>
    </w:p>
    <w:p w14:paraId="1289829B" w14:textId="787657D1" w:rsidR="00166E35" w:rsidRPr="001143DB" w:rsidRDefault="006E15CF" w:rsidP="00012A69">
      <w:pPr>
        <w:spacing w:after="0" w:line="240" w:lineRule="auto"/>
        <w:jc w:val="both"/>
        <w:rPr>
          <w:color w:val="000000"/>
          <w:sz w:val="24"/>
          <w:szCs w:val="24"/>
        </w:rPr>
      </w:pPr>
      <w:r w:rsidRPr="001143DB">
        <w:rPr>
          <w:color w:val="000000"/>
          <w:sz w:val="24"/>
          <w:szCs w:val="24"/>
        </w:rPr>
        <w:t>Ukupan iznos sredstava potreb</w:t>
      </w:r>
      <w:r w:rsidR="0095029D">
        <w:rPr>
          <w:color w:val="000000"/>
          <w:sz w:val="24"/>
          <w:szCs w:val="24"/>
        </w:rPr>
        <w:t>an</w:t>
      </w:r>
      <w:r w:rsidRPr="001143DB">
        <w:rPr>
          <w:color w:val="000000"/>
          <w:sz w:val="24"/>
          <w:szCs w:val="24"/>
        </w:rPr>
        <w:t xml:space="preserve"> za osiguranje minimalnih financijskih standarda (bilančnih prava) u 20</w:t>
      </w:r>
      <w:r w:rsidR="00BF07A4" w:rsidRPr="001143DB">
        <w:rPr>
          <w:color w:val="000000"/>
          <w:sz w:val="24"/>
          <w:szCs w:val="24"/>
        </w:rPr>
        <w:t>20</w:t>
      </w:r>
      <w:r w:rsidRPr="001143DB">
        <w:rPr>
          <w:color w:val="000000"/>
          <w:sz w:val="24"/>
          <w:szCs w:val="24"/>
        </w:rPr>
        <w:t xml:space="preserve">. godini </w:t>
      </w:r>
      <w:r w:rsidR="0073563E" w:rsidRPr="001143DB">
        <w:rPr>
          <w:color w:val="000000"/>
          <w:sz w:val="24"/>
          <w:szCs w:val="24"/>
        </w:rPr>
        <w:t xml:space="preserve">se </w:t>
      </w:r>
      <w:r w:rsidRPr="001143DB">
        <w:rPr>
          <w:color w:val="000000"/>
          <w:sz w:val="24"/>
          <w:szCs w:val="24"/>
        </w:rPr>
        <w:t xml:space="preserve">planira uvećan za najviše </w:t>
      </w:r>
      <w:r w:rsidR="00B21A18" w:rsidRPr="001143DB">
        <w:rPr>
          <w:color w:val="000000"/>
          <w:sz w:val="24"/>
          <w:szCs w:val="24"/>
        </w:rPr>
        <w:t>3</w:t>
      </w:r>
      <w:r w:rsidRPr="001143DB">
        <w:rPr>
          <w:color w:val="000000"/>
          <w:sz w:val="24"/>
          <w:szCs w:val="24"/>
        </w:rPr>
        <w:t>%</w:t>
      </w:r>
      <w:r w:rsidR="00540398" w:rsidRPr="001143DB">
        <w:rPr>
          <w:color w:val="000000"/>
          <w:sz w:val="24"/>
          <w:szCs w:val="24"/>
        </w:rPr>
        <w:t xml:space="preserve"> u odnosu na </w:t>
      </w:r>
      <w:r w:rsidR="006574B2" w:rsidRPr="001143DB">
        <w:rPr>
          <w:color w:val="000000"/>
          <w:sz w:val="24"/>
          <w:szCs w:val="24"/>
        </w:rPr>
        <w:t>prethodnu 201</w:t>
      </w:r>
      <w:r w:rsidR="003C0F56" w:rsidRPr="001143DB">
        <w:rPr>
          <w:color w:val="000000"/>
          <w:sz w:val="24"/>
          <w:szCs w:val="24"/>
        </w:rPr>
        <w:t>9</w:t>
      </w:r>
      <w:r w:rsidRPr="001143DB">
        <w:rPr>
          <w:color w:val="000000"/>
          <w:sz w:val="24"/>
          <w:szCs w:val="24"/>
        </w:rPr>
        <w:t>. godinu.</w:t>
      </w:r>
    </w:p>
    <w:p w14:paraId="40641E45" w14:textId="77777777" w:rsidR="006E15CF" w:rsidRPr="001143DB" w:rsidRDefault="006E15CF" w:rsidP="00012A69">
      <w:pPr>
        <w:spacing w:after="0" w:line="240" w:lineRule="auto"/>
        <w:jc w:val="both"/>
        <w:rPr>
          <w:color w:val="000000"/>
          <w:sz w:val="24"/>
          <w:szCs w:val="24"/>
        </w:rPr>
      </w:pPr>
    </w:p>
    <w:p w14:paraId="5BEA0C1D" w14:textId="77777777" w:rsidR="00D9073C" w:rsidRPr="001143DB" w:rsidRDefault="00D9073C" w:rsidP="00012A69">
      <w:pPr>
        <w:spacing w:after="0" w:line="240" w:lineRule="auto"/>
        <w:jc w:val="both"/>
        <w:rPr>
          <w:rFonts w:eastAsia="Times New Roman" w:cs="Times New Roman"/>
          <w:sz w:val="24"/>
          <w:szCs w:val="24"/>
          <w:lang w:eastAsia="hr-HR"/>
        </w:rPr>
      </w:pPr>
      <w:r w:rsidRPr="001143DB">
        <w:rPr>
          <w:rFonts w:eastAsia="Times New Roman" w:cs="Times New Roman"/>
          <w:sz w:val="24"/>
          <w:szCs w:val="24"/>
          <w:lang w:eastAsia="hr-HR"/>
        </w:rPr>
        <w:t xml:space="preserve">Tijela državne uprave koja su nadležna za decentralizirane funkcije, u suradnji s </w:t>
      </w:r>
      <w:r w:rsidRPr="001143DB">
        <w:rPr>
          <w:color w:val="000000"/>
          <w:sz w:val="24"/>
          <w:szCs w:val="24"/>
        </w:rPr>
        <w:t>nositeljima decentraliziranih funkcija</w:t>
      </w:r>
      <w:r w:rsidRPr="001143DB">
        <w:rPr>
          <w:sz w:val="24"/>
          <w:szCs w:val="24"/>
        </w:rPr>
        <w:t xml:space="preserve"> te u skladu s potrebama krajnjih korisnika (ustanova)</w:t>
      </w:r>
      <w:r w:rsidRPr="001143DB">
        <w:rPr>
          <w:color w:val="000000"/>
          <w:sz w:val="24"/>
          <w:szCs w:val="24"/>
        </w:rPr>
        <w:t xml:space="preserve">, </w:t>
      </w:r>
      <w:r w:rsidRPr="001143DB">
        <w:rPr>
          <w:rFonts w:eastAsia="Times New Roman" w:cs="Times New Roman"/>
          <w:sz w:val="24"/>
          <w:szCs w:val="24"/>
          <w:lang w:eastAsia="hr-HR"/>
        </w:rPr>
        <w:t>određuju raspodjelu sredstava županijama, Gradu Zagrebu, gradovima i općinama unutar zadanih limita za svaku pojedinu decentraliziranu funkciju</w:t>
      </w:r>
      <w:r w:rsidRPr="001143DB">
        <w:rPr>
          <w:sz w:val="24"/>
          <w:szCs w:val="24"/>
        </w:rPr>
        <w:t xml:space="preserve">. </w:t>
      </w:r>
    </w:p>
    <w:p w14:paraId="3CDFA694" w14:textId="77777777" w:rsidR="00CC6BDD" w:rsidRPr="001143DB" w:rsidRDefault="00CC6BDD" w:rsidP="00012A69">
      <w:pPr>
        <w:spacing w:after="0" w:line="240" w:lineRule="auto"/>
        <w:jc w:val="both"/>
        <w:rPr>
          <w:rFonts w:eastAsia="Times New Roman" w:cs="Times New Roman"/>
          <w:sz w:val="24"/>
          <w:szCs w:val="24"/>
          <w:lang w:eastAsia="hr-HR"/>
        </w:rPr>
      </w:pPr>
    </w:p>
    <w:p w14:paraId="5630D027" w14:textId="1B9A29DE" w:rsidR="00012A69" w:rsidRDefault="006C1C70" w:rsidP="00012A69">
      <w:pPr>
        <w:spacing w:after="0" w:line="240" w:lineRule="auto"/>
        <w:jc w:val="both"/>
        <w:rPr>
          <w:sz w:val="24"/>
          <w:szCs w:val="24"/>
        </w:rPr>
      </w:pPr>
      <w:r w:rsidRPr="001143DB">
        <w:rPr>
          <w:sz w:val="24"/>
          <w:szCs w:val="24"/>
        </w:rPr>
        <w:t>S</w:t>
      </w:r>
      <w:r w:rsidR="00B2522A" w:rsidRPr="001143DB">
        <w:rPr>
          <w:sz w:val="24"/>
          <w:szCs w:val="24"/>
        </w:rPr>
        <w:t>redstva pomoći izravnanja za decentralizirane funkcije</w:t>
      </w:r>
      <w:r w:rsidR="00CD6E54" w:rsidRPr="001143DB">
        <w:rPr>
          <w:sz w:val="24"/>
          <w:szCs w:val="24"/>
        </w:rPr>
        <w:t>,</w:t>
      </w:r>
      <w:r w:rsidRPr="001143DB">
        <w:rPr>
          <w:sz w:val="24"/>
          <w:szCs w:val="24"/>
        </w:rPr>
        <w:t xml:space="preserve"> kao i 201</w:t>
      </w:r>
      <w:r w:rsidR="00F4602F" w:rsidRPr="001143DB">
        <w:rPr>
          <w:sz w:val="24"/>
          <w:szCs w:val="24"/>
        </w:rPr>
        <w:t>9</w:t>
      </w:r>
      <w:r w:rsidRPr="001143DB">
        <w:rPr>
          <w:sz w:val="24"/>
          <w:szCs w:val="24"/>
        </w:rPr>
        <w:t>. godine</w:t>
      </w:r>
      <w:r w:rsidR="00CD6E54" w:rsidRPr="001143DB">
        <w:rPr>
          <w:sz w:val="24"/>
          <w:szCs w:val="24"/>
        </w:rPr>
        <w:t>,</w:t>
      </w:r>
      <w:r w:rsidRPr="001143DB">
        <w:rPr>
          <w:sz w:val="24"/>
          <w:szCs w:val="24"/>
        </w:rPr>
        <w:t xml:space="preserve"> </w:t>
      </w:r>
      <w:r w:rsidR="00CD6E54" w:rsidRPr="001143DB">
        <w:rPr>
          <w:sz w:val="24"/>
          <w:szCs w:val="24"/>
        </w:rPr>
        <w:t>bit</w:t>
      </w:r>
      <w:r w:rsidR="00B2522A" w:rsidRPr="001143DB">
        <w:rPr>
          <w:sz w:val="24"/>
          <w:szCs w:val="24"/>
        </w:rPr>
        <w:t xml:space="preserve"> će osigurana u državnom proračunu Republike Hrvatske na razdjelu</w:t>
      </w:r>
      <w:r w:rsidR="00B2522A" w:rsidRPr="001143DB">
        <w:rPr>
          <w:rFonts w:eastAsia="Times New Roman" w:cs="Times New Roman"/>
          <w:sz w:val="24"/>
          <w:szCs w:val="24"/>
          <w:lang w:eastAsia="hr-HR"/>
        </w:rPr>
        <w:t xml:space="preserve"> tijela (ministarstva i druga tijela državne uprave) nadležnog za određenu decentraliziranu funkciju</w:t>
      </w:r>
      <w:r w:rsidR="00B2522A" w:rsidRPr="001143DB">
        <w:rPr>
          <w:sz w:val="24"/>
          <w:szCs w:val="24"/>
        </w:rPr>
        <w:t>. Radi se o sredstvima namijenjenima jedinicama lokalne i područne (regionalne) samouprave koje iz namjenskog udjela poreza na dohodak ostvare manje sredstava nego im je potrebno za dostizanje minimalnih financijskih standarda te imaju pravo na pomoć izravnanja.</w:t>
      </w:r>
      <w:r w:rsidR="00B2522A" w:rsidRPr="001E4E40">
        <w:rPr>
          <w:sz w:val="24"/>
          <w:szCs w:val="24"/>
        </w:rPr>
        <w:t xml:space="preserve"> </w:t>
      </w:r>
    </w:p>
    <w:p w14:paraId="33890054" w14:textId="77777777" w:rsidR="004D1F5C" w:rsidRDefault="004D1F5C" w:rsidP="00012A69">
      <w:pPr>
        <w:spacing w:after="0" w:line="240" w:lineRule="auto"/>
        <w:jc w:val="both"/>
        <w:rPr>
          <w:sz w:val="24"/>
          <w:szCs w:val="24"/>
        </w:rPr>
      </w:pPr>
    </w:p>
    <w:p w14:paraId="2161C127" w14:textId="34F0E949" w:rsidR="00D90518" w:rsidRPr="001E4E40" w:rsidRDefault="00B515B0" w:rsidP="00DC06D2">
      <w:pPr>
        <w:keepNext/>
        <w:keepLines/>
        <w:numPr>
          <w:ilvl w:val="0"/>
          <w:numId w:val="2"/>
        </w:numPr>
        <w:spacing w:before="480" w:after="0" w:line="240" w:lineRule="auto"/>
        <w:ind w:left="714" w:hanging="357"/>
        <w:jc w:val="both"/>
        <w:outlineLvl w:val="0"/>
        <w:rPr>
          <w:rFonts w:eastAsiaTheme="majorEastAsia" w:cstheme="majorBidi"/>
          <w:b/>
          <w:bCs/>
          <w:sz w:val="28"/>
          <w:szCs w:val="24"/>
          <w:lang w:eastAsia="hr-HR"/>
        </w:rPr>
      </w:pPr>
      <w:bookmarkStart w:id="23" w:name="_Toc18594181"/>
      <w:r w:rsidRPr="001E4E40">
        <w:rPr>
          <w:rFonts w:eastAsiaTheme="majorEastAsia" w:cstheme="majorBidi"/>
          <w:b/>
          <w:bCs/>
          <w:sz w:val="28"/>
          <w:szCs w:val="24"/>
          <w:lang w:eastAsia="hr-HR"/>
        </w:rPr>
        <w:lastRenderedPageBreak/>
        <w:t>NAJAVA:  NOVA UREDBA O SASTAVLJANJU I PREDAJI IZJAVE O FISKALNOJ ODGOVORNOSTI I IZVJEŠTAJA O PRIMJENI FISKALNIH PRAVILA</w:t>
      </w:r>
      <w:bookmarkEnd w:id="23"/>
    </w:p>
    <w:p w14:paraId="0444EE49" w14:textId="77777777" w:rsidR="008C5925" w:rsidRPr="00BF07A4" w:rsidRDefault="008C5925" w:rsidP="00BF07A4">
      <w:pPr>
        <w:spacing w:after="0" w:line="240" w:lineRule="auto"/>
        <w:jc w:val="both"/>
        <w:rPr>
          <w:sz w:val="24"/>
          <w:szCs w:val="24"/>
        </w:rPr>
      </w:pPr>
    </w:p>
    <w:p w14:paraId="1E0FE743" w14:textId="1E5A2214" w:rsidR="00FB3E85" w:rsidRDefault="00FB3E85" w:rsidP="00012A69">
      <w:pPr>
        <w:spacing w:after="0" w:line="240" w:lineRule="auto"/>
        <w:jc w:val="both"/>
        <w:rPr>
          <w:sz w:val="24"/>
          <w:szCs w:val="24"/>
        </w:rPr>
      </w:pPr>
      <w:r w:rsidRPr="001E4E40">
        <w:rPr>
          <w:sz w:val="24"/>
          <w:szCs w:val="24"/>
        </w:rPr>
        <w:t>Početkom godine stupio je na snagu novi Zakon o fiskalnoj</w:t>
      </w:r>
      <w:r w:rsidR="00004733" w:rsidRPr="001E4E40">
        <w:rPr>
          <w:sz w:val="24"/>
          <w:szCs w:val="24"/>
        </w:rPr>
        <w:t xml:space="preserve"> odgovornosti</w:t>
      </w:r>
      <w:r w:rsidRPr="001E4E40">
        <w:rPr>
          <w:sz w:val="24"/>
          <w:szCs w:val="24"/>
        </w:rPr>
        <w:t xml:space="preserve"> (Narodne novine</w:t>
      </w:r>
      <w:r w:rsidR="00C20C98" w:rsidRPr="001E4E40">
        <w:rPr>
          <w:sz w:val="24"/>
          <w:szCs w:val="24"/>
        </w:rPr>
        <w:t>, br. 111/</w:t>
      </w:r>
      <w:r w:rsidRPr="001E4E40">
        <w:rPr>
          <w:sz w:val="24"/>
          <w:szCs w:val="24"/>
        </w:rPr>
        <w:t>18) na temelju kojeg je izrađen novi Prijedlog uredbe o sastavljanju i predaji izjave o fiskalnoj odgovornosti i izvještaja o primjeni fiskalnih pravila.</w:t>
      </w:r>
      <w:r w:rsidR="00661210" w:rsidRPr="001E4E40">
        <w:rPr>
          <w:sz w:val="24"/>
          <w:szCs w:val="24"/>
        </w:rPr>
        <w:t xml:space="preserve"> Za</w:t>
      </w:r>
      <w:r w:rsidRPr="001E4E40">
        <w:rPr>
          <w:sz w:val="24"/>
          <w:szCs w:val="24"/>
        </w:rPr>
        <w:t xml:space="preserve"> Prijedlog uredbe </w:t>
      </w:r>
      <w:r w:rsidR="00661210" w:rsidRPr="001E4E40">
        <w:rPr>
          <w:sz w:val="24"/>
          <w:szCs w:val="24"/>
        </w:rPr>
        <w:t>zaključena j</w:t>
      </w:r>
      <w:r w:rsidRPr="001E4E40">
        <w:rPr>
          <w:sz w:val="24"/>
          <w:szCs w:val="24"/>
        </w:rPr>
        <w:t>e procedur</w:t>
      </w:r>
      <w:r w:rsidR="00661210" w:rsidRPr="001E4E40">
        <w:rPr>
          <w:sz w:val="24"/>
          <w:szCs w:val="24"/>
        </w:rPr>
        <w:t>a</w:t>
      </w:r>
      <w:r w:rsidRPr="001E4E40">
        <w:rPr>
          <w:sz w:val="24"/>
          <w:szCs w:val="24"/>
        </w:rPr>
        <w:t xml:space="preserve"> savjetovanja s j</w:t>
      </w:r>
      <w:r w:rsidR="00661210" w:rsidRPr="001E4E40">
        <w:rPr>
          <w:sz w:val="24"/>
          <w:szCs w:val="24"/>
        </w:rPr>
        <w:t xml:space="preserve">avnošću. </w:t>
      </w:r>
    </w:p>
    <w:p w14:paraId="29AE44A2" w14:textId="77777777" w:rsidR="00012A69" w:rsidRPr="001E4E40" w:rsidRDefault="00012A69" w:rsidP="00012A69">
      <w:pPr>
        <w:spacing w:after="0" w:line="240" w:lineRule="auto"/>
        <w:jc w:val="both"/>
        <w:rPr>
          <w:sz w:val="24"/>
          <w:szCs w:val="24"/>
        </w:rPr>
      </w:pPr>
    </w:p>
    <w:p w14:paraId="6327AEA8" w14:textId="77777777" w:rsidR="00FB3E85" w:rsidRDefault="00FB3E85" w:rsidP="00012A69">
      <w:pPr>
        <w:spacing w:after="0" w:line="240" w:lineRule="auto"/>
        <w:jc w:val="both"/>
        <w:rPr>
          <w:sz w:val="24"/>
          <w:szCs w:val="24"/>
        </w:rPr>
      </w:pPr>
      <w:r w:rsidRPr="001E4E40">
        <w:rPr>
          <w:sz w:val="24"/>
          <w:szCs w:val="24"/>
        </w:rPr>
        <w:t xml:space="preserve">Izjava o fiskalnoj odgovornosti daje se i nadalje na temelju Upitnika o fiskalnoj odgovornosti, nalaza Državnog ureda za reviziju odnosno vanjske revizije i raspoloživih informacija. Postroženi su uvjeti za davanje Izjave 1 a. bez utvrđenih slabosti i nepravilnosti, a pitanja iz Upitnika proširuju se i na područja transparentnosti i upravljanja imovinom. </w:t>
      </w:r>
      <w:r w:rsidR="00004733" w:rsidRPr="001E4E40">
        <w:rPr>
          <w:sz w:val="24"/>
          <w:szCs w:val="24"/>
        </w:rPr>
        <w:t xml:space="preserve">Predloženo je uvođenje </w:t>
      </w:r>
      <w:r w:rsidRPr="001E4E40">
        <w:rPr>
          <w:sz w:val="24"/>
          <w:szCs w:val="24"/>
        </w:rPr>
        <w:t>obvezn</w:t>
      </w:r>
      <w:r w:rsidR="00004733" w:rsidRPr="001E4E40">
        <w:rPr>
          <w:sz w:val="24"/>
          <w:szCs w:val="24"/>
        </w:rPr>
        <w:t>e</w:t>
      </w:r>
      <w:r w:rsidRPr="001E4E40">
        <w:rPr>
          <w:sz w:val="24"/>
          <w:szCs w:val="24"/>
        </w:rPr>
        <w:t xml:space="preserve"> izobrazb</w:t>
      </w:r>
      <w:r w:rsidR="00004733" w:rsidRPr="001E4E40">
        <w:rPr>
          <w:sz w:val="24"/>
          <w:szCs w:val="24"/>
        </w:rPr>
        <w:t>e</w:t>
      </w:r>
      <w:r w:rsidRPr="001E4E40">
        <w:rPr>
          <w:sz w:val="24"/>
          <w:szCs w:val="24"/>
        </w:rPr>
        <w:t xml:space="preserve"> iz područja fiskalne odgovornosti za ministre, čelnike drugih državnih tijela, općinske načelnike, gradonačelnike odnosno župane i čelnike svih ostalih proračunskih i izvanproračunskih korisnika. </w:t>
      </w:r>
    </w:p>
    <w:p w14:paraId="1D8BB3E0" w14:textId="77777777" w:rsidR="00012A69" w:rsidRPr="001E4E40" w:rsidRDefault="00012A69" w:rsidP="00012A69">
      <w:pPr>
        <w:spacing w:after="0" w:line="240" w:lineRule="auto"/>
        <w:jc w:val="both"/>
        <w:rPr>
          <w:sz w:val="24"/>
          <w:szCs w:val="24"/>
        </w:rPr>
      </w:pPr>
    </w:p>
    <w:p w14:paraId="04646184" w14:textId="6CEA4BA8" w:rsidR="00B515B0" w:rsidRDefault="00807FC3" w:rsidP="00012A69">
      <w:pPr>
        <w:spacing w:after="0" w:line="240" w:lineRule="auto"/>
        <w:jc w:val="both"/>
        <w:rPr>
          <w:sz w:val="24"/>
          <w:szCs w:val="24"/>
        </w:rPr>
      </w:pPr>
      <w:r w:rsidRPr="001E4E40">
        <w:rPr>
          <w:sz w:val="24"/>
          <w:szCs w:val="24"/>
        </w:rPr>
        <w:t>U Upitniku</w:t>
      </w:r>
      <w:r w:rsidR="00B515B0" w:rsidRPr="001E4E40">
        <w:rPr>
          <w:sz w:val="24"/>
          <w:szCs w:val="24"/>
        </w:rPr>
        <w:t xml:space="preserve"> je predviđeno brisanje pojedinih pitanja, kao i dopune </w:t>
      </w:r>
      <w:r w:rsidRPr="001E4E40">
        <w:rPr>
          <w:sz w:val="24"/>
          <w:szCs w:val="24"/>
        </w:rPr>
        <w:t xml:space="preserve">postojećih </w:t>
      </w:r>
      <w:r w:rsidR="00B515B0" w:rsidRPr="001E4E40">
        <w:rPr>
          <w:sz w:val="24"/>
          <w:szCs w:val="24"/>
        </w:rPr>
        <w:t>te no</w:t>
      </w:r>
      <w:r w:rsidR="008C5925">
        <w:rPr>
          <w:sz w:val="24"/>
          <w:szCs w:val="24"/>
        </w:rPr>
        <w:t>va pitanja iz svih područja koja</w:t>
      </w:r>
      <w:r w:rsidR="00B515B0" w:rsidRPr="001E4E40">
        <w:rPr>
          <w:sz w:val="24"/>
          <w:szCs w:val="24"/>
        </w:rPr>
        <w:t xml:space="preserve"> se testiraju Upitnikom, pa tako i iz područja planiranja proračuna</w:t>
      </w:r>
      <w:r w:rsidRPr="001E4E40">
        <w:rPr>
          <w:sz w:val="24"/>
          <w:szCs w:val="24"/>
        </w:rPr>
        <w:t>,</w:t>
      </w:r>
      <w:r w:rsidR="00B515B0" w:rsidRPr="001E4E40">
        <w:rPr>
          <w:sz w:val="24"/>
          <w:szCs w:val="24"/>
        </w:rPr>
        <w:t xml:space="preserve"> odnosno </w:t>
      </w:r>
      <w:r w:rsidRPr="001E4E40">
        <w:rPr>
          <w:sz w:val="24"/>
          <w:szCs w:val="24"/>
        </w:rPr>
        <w:t xml:space="preserve">izrade </w:t>
      </w:r>
      <w:r w:rsidR="00B515B0" w:rsidRPr="001E4E40">
        <w:rPr>
          <w:sz w:val="24"/>
          <w:szCs w:val="24"/>
        </w:rPr>
        <w:t>financijskog plana.</w:t>
      </w:r>
    </w:p>
    <w:p w14:paraId="1380549F" w14:textId="77777777" w:rsidR="00012A69" w:rsidRPr="001E4E40" w:rsidRDefault="00012A69" w:rsidP="00012A69">
      <w:pPr>
        <w:spacing w:after="0" w:line="240" w:lineRule="auto"/>
        <w:jc w:val="both"/>
        <w:rPr>
          <w:sz w:val="24"/>
          <w:szCs w:val="24"/>
        </w:rPr>
      </w:pPr>
    </w:p>
    <w:p w14:paraId="19FDA972" w14:textId="281D74F4" w:rsidR="00B515B0" w:rsidRDefault="00B515B0" w:rsidP="00012A69">
      <w:pPr>
        <w:spacing w:after="0" w:line="240" w:lineRule="auto"/>
        <w:jc w:val="both"/>
        <w:rPr>
          <w:sz w:val="24"/>
          <w:szCs w:val="24"/>
        </w:rPr>
      </w:pPr>
      <w:r w:rsidRPr="001E4E40">
        <w:rPr>
          <w:sz w:val="24"/>
          <w:szCs w:val="24"/>
        </w:rPr>
        <w:t>U</w:t>
      </w:r>
      <w:r w:rsidR="003B108A" w:rsidRPr="001E4E40">
        <w:rPr>
          <w:sz w:val="24"/>
          <w:szCs w:val="24"/>
        </w:rPr>
        <w:t xml:space="preserve"> kontekstu izrade financijskih planova i proračuna jedinica lokalne i područne (regionalne) samouprave za razdoblje 2020.</w:t>
      </w:r>
      <w:r w:rsidR="00D90518" w:rsidRPr="001E4E40">
        <w:rPr>
          <w:sz w:val="24"/>
          <w:szCs w:val="24"/>
        </w:rPr>
        <w:t xml:space="preserve"> </w:t>
      </w:r>
      <w:r w:rsidR="003B108A" w:rsidRPr="001E4E40">
        <w:rPr>
          <w:sz w:val="24"/>
          <w:szCs w:val="24"/>
        </w:rPr>
        <w:t>-</w:t>
      </w:r>
      <w:r w:rsidR="00D90518" w:rsidRPr="001E4E40">
        <w:rPr>
          <w:sz w:val="24"/>
          <w:szCs w:val="24"/>
        </w:rPr>
        <w:t xml:space="preserve"> </w:t>
      </w:r>
      <w:r w:rsidR="003B108A" w:rsidRPr="001E4E40">
        <w:rPr>
          <w:sz w:val="24"/>
          <w:szCs w:val="24"/>
        </w:rPr>
        <w:t xml:space="preserve">2022., ukazujemo kako je u pitanjima iz područja </w:t>
      </w:r>
      <w:r w:rsidR="00BE6724" w:rsidRPr="001E4E40">
        <w:rPr>
          <w:sz w:val="24"/>
          <w:szCs w:val="24"/>
        </w:rPr>
        <w:t>planiranja iz prijedloga Upitnika o fiskalnoj odgovornosti</w:t>
      </w:r>
      <w:r w:rsidRPr="001E4E40">
        <w:rPr>
          <w:sz w:val="24"/>
          <w:szCs w:val="24"/>
        </w:rPr>
        <w:t xml:space="preserve"> naglasak stavljen na nužnost uravnoteženja financijskog plana proračunskog i izvanproračunskog korisnika jedinice lokalne i područne (regionalne) samouprave</w:t>
      </w:r>
      <w:r w:rsidR="00BE6724" w:rsidRPr="001E4E40">
        <w:rPr>
          <w:sz w:val="24"/>
          <w:szCs w:val="24"/>
        </w:rPr>
        <w:t>,</w:t>
      </w:r>
      <w:r w:rsidRPr="001E4E40">
        <w:rPr>
          <w:sz w:val="24"/>
          <w:szCs w:val="24"/>
        </w:rPr>
        <w:t xml:space="preserve"> odnosno proračuna jedinice lokalne i područne (regionalne) samouprave za naredno trogodišnje razdoblje na način da uključuje procjenu rezultata poslovanja tekuće godine koji se prenosi u sljedeću(e) proračunsku(e) godinu(e). </w:t>
      </w:r>
    </w:p>
    <w:p w14:paraId="40DDF32D" w14:textId="77777777" w:rsidR="00F55680" w:rsidRPr="001E4E40" w:rsidRDefault="00F55680" w:rsidP="00012A69">
      <w:pPr>
        <w:spacing w:after="0" w:line="240" w:lineRule="auto"/>
        <w:jc w:val="both"/>
        <w:rPr>
          <w:sz w:val="24"/>
          <w:szCs w:val="24"/>
        </w:rPr>
      </w:pPr>
    </w:p>
    <w:p w14:paraId="335A3F80" w14:textId="77777777" w:rsidR="00B515B0" w:rsidRDefault="00B515B0" w:rsidP="00012A69">
      <w:pPr>
        <w:spacing w:after="0" w:line="240" w:lineRule="auto"/>
        <w:jc w:val="both"/>
        <w:rPr>
          <w:sz w:val="24"/>
          <w:szCs w:val="24"/>
        </w:rPr>
      </w:pPr>
      <w:r w:rsidRPr="001E4E40">
        <w:rPr>
          <w:sz w:val="24"/>
          <w:szCs w:val="24"/>
        </w:rPr>
        <w:t>Također, u slučaju da jedinice lokalne i područne (regionalne) samouprave odnosno proračunski i izvanproračunski korisnici proračuna jedinice lokalne i područne (regionalne) samouprave planiraju sukcesivno trošenje viškova odnosno pokriće manjkova, uz proračun odnosno financijski plan mora biti donesen akt koji sadrži analizu nastanka tako značajnog viška odnosno analizu i ocjenu postojećeg financijskog stanja institucije; prijedlog mogućnosti za smanjenje ili ukidanje određenih naknada koje se naplaćuju za usluge koje pružaju proračunski korisnici odnosno prijedlog mjera za otklanjanja utvrđenih uzroka nastanka negativnog poslovanja te mjera za stabilno održivo poslovanje; način i svrhu za koju će se upotrijebiti navedeni višak u zadanom trogodišnjem okviru odnosno akcijski plan provedbe navedenih mjera (s opisom mjere, načinom provedbe, rokom provedbe, imenom i prezimenom odgovorne osobe) s očekivanim financijskim i ekonomskim učinkom. O donošenju akta usvojenog od strane predstavničkog tijela, odnosno upravnog vijeća ili drugog upravljačkog tijela, potrebno je priložiti dokaz uz pitanje u Upitniku.</w:t>
      </w:r>
    </w:p>
    <w:p w14:paraId="3D3B0CBD" w14:textId="77777777" w:rsidR="00012A69" w:rsidRPr="001E4E40" w:rsidRDefault="00012A69" w:rsidP="00012A69">
      <w:pPr>
        <w:spacing w:after="0" w:line="240" w:lineRule="auto"/>
        <w:jc w:val="both"/>
        <w:rPr>
          <w:sz w:val="24"/>
          <w:szCs w:val="24"/>
        </w:rPr>
      </w:pPr>
    </w:p>
    <w:p w14:paraId="53B3CC58" w14:textId="21A1A558" w:rsidR="00B74A80" w:rsidRDefault="00B515B0" w:rsidP="00012A69">
      <w:pPr>
        <w:spacing w:after="0" w:line="240" w:lineRule="auto"/>
        <w:jc w:val="both"/>
        <w:rPr>
          <w:sz w:val="24"/>
          <w:szCs w:val="24"/>
        </w:rPr>
      </w:pPr>
      <w:r w:rsidRPr="001E4E40">
        <w:rPr>
          <w:sz w:val="24"/>
          <w:szCs w:val="24"/>
        </w:rPr>
        <w:t>Dodatno, posebni dio proračuna jedinice lokalne i područne (regionalne) samouprave mora biti sastavljen od prikupljenih i objedinjenih prijedloga financijskih planova proračunskih korisnika proračuna jedinice u koji su uključeni svi vlastiti i namjenski prihodi i primici proračunskih korisnika, što će se također testirati pitanjem koji je sastavni dio Upitnika.</w:t>
      </w:r>
    </w:p>
    <w:p w14:paraId="27431D32" w14:textId="59C38A57" w:rsidR="00FB3B06" w:rsidRPr="001E4E40" w:rsidRDefault="00FB3B06" w:rsidP="00DC06D2">
      <w:pPr>
        <w:keepNext/>
        <w:keepLines/>
        <w:numPr>
          <w:ilvl w:val="0"/>
          <w:numId w:val="2"/>
        </w:numPr>
        <w:spacing w:before="480" w:after="0" w:line="240" w:lineRule="auto"/>
        <w:ind w:left="714" w:hanging="357"/>
        <w:jc w:val="both"/>
        <w:outlineLvl w:val="0"/>
        <w:rPr>
          <w:rFonts w:eastAsiaTheme="majorEastAsia" w:cstheme="majorBidi"/>
          <w:b/>
          <w:bCs/>
          <w:sz w:val="28"/>
          <w:szCs w:val="24"/>
          <w:lang w:eastAsia="hr-HR"/>
        </w:rPr>
      </w:pPr>
      <w:bookmarkStart w:id="24" w:name="_Toc18594182"/>
      <w:r w:rsidRPr="001E4E40">
        <w:rPr>
          <w:rFonts w:eastAsiaTheme="majorEastAsia" w:cstheme="majorBidi"/>
          <w:b/>
          <w:bCs/>
          <w:sz w:val="28"/>
          <w:szCs w:val="24"/>
          <w:lang w:eastAsia="hr-HR"/>
        </w:rPr>
        <w:lastRenderedPageBreak/>
        <w:t xml:space="preserve">DOSTUPNOST MATERIJALA NA </w:t>
      </w:r>
      <w:r w:rsidR="003F5F9C">
        <w:rPr>
          <w:rFonts w:eastAsiaTheme="majorEastAsia" w:cstheme="majorBidi"/>
          <w:b/>
          <w:bCs/>
          <w:sz w:val="28"/>
          <w:szCs w:val="24"/>
          <w:lang w:eastAsia="hr-HR"/>
        </w:rPr>
        <w:t>MREŽNOJ</w:t>
      </w:r>
      <w:r w:rsidRPr="001E4E40">
        <w:rPr>
          <w:rFonts w:eastAsiaTheme="majorEastAsia" w:cstheme="majorBidi"/>
          <w:b/>
          <w:bCs/>
          <w:sz w:val="28"/>
          <w:szCs w:val="24"/>
          <w:lang w:eastAsia="hr-HR"/>
        </w:rPr>
        <w:t xml:space="preserve"> STRANICI MINISTARSTVA FINANCIJA</w:t>
      </w:r>
      <w:bookmarkEnd w:id="24"/>
    </w:p>
    <w:p w14:paraId="73655D52" w14:textId="77777777" w:rsidR="008C5925" w:rsidRPr="001E4E40" w:rsidRDefault="008C5925" w:rsidP="00012A69">
      <w:pPr>
        <w:spacing w:after="0" w:line="240" w:lineRule="auto"/>
        <w:jc w:val="both"/>
        <w:rPr>
          <w:rFonts w:eastAsia="Times New Roman" w:cs="Times New Roman"/>
          <w:sz w:val="24"/>
          <w:szCs w:val="24"/>
          <w:lang w:eastAsia="hr-HR"/>
        </w:rPr>
      </w:pPr>
    </w:p>
    <w:p w14:paraId="2C634C19" w14:textId="77777777" w:rsidR="002B5256" w:rsidRPr="001E4E40" w:rsidRDefault="00FB3B06" w:rsidP="00012A69">
      <w:pPr>
        <w:spacing w:after="0" w:line="240" w:lineRule="auto"/>
        <w:jc w:val="both"/>
      </w:pPr>
      <w:r w:rsidRPr="001E4E40">
        <w:rPr>
          <w:rFonts w:eastAsia="Times New Roman" w:cs="Times New Roman"/>
          <w:sz w:val="24"/>
          <w:szCs w:val="24"/>
          <w:lang w:eastAsia="hr-HR"/>
        </w:rPr>
        <w:t xml:space="preserve">Općine, gradovi i županije te korisnici njihovih proračuna mogu tekst ovih uputa </w:t>
      </w:r>
      <w:r w:rsidR="004E0E61" w:rsidRPr="001E4E40">
        <w:rPr>
          <w:rFonts w:eastAsia="Times New Roman" w:cs="Times New Roman"/>
          <w:sz w:val="24"/>
          <w:szCs w:val="24"/>
          <w:lang w:eastAsia="hr-HR"/>
        </w:rPr>
        <w:t xml:space="preserve">i prilog </w:t>
      </w:r>
      <w:r w:rsidR="002432CE" w:rsidRPr="001E4E40">
        <w:rPr>
          <w:rFonts w:eastAsia="Times New Roman" w:cs="Times New Roman"/>
          <w:sz w:val="24"/>
          <w:szCs w:val="24"/>
          <w:lang w:eastAsia="hr-HR"/>
        </w:rPr>
        <w:t>(</w:t>
      </w:r>
      <w:r w:rsidR="00FF5846" w:rsidRPr="001E4E40">
        <w:rPr>
          <w:rFonts w:eastAsia="Times New Roman" w:cs="Times New Roman"/>
          <w:sz w:val="24"/>
          <w:szCs w:val="24"/>
          <w:lang w:eastAsia="hr-HR"/>
        </w:rPr>
        <w:t>Obrasci - P</w:t>
      </w:r>
      <w:r w:rsidR="000F3ACA" w:rsidRPr="001E4E40">
        <w:rPr>
          <w:rFonts w:eastAsia="Times New Roman" w:cs="Times New Roman"/>
          <w:sz w:val="24"/>
          <w:szCs w:val="24"/>
          <w:lang w:eastAsia="hr-HR"/>
        </w:rPr>
        <w:t>rijedlog financijskog plana</w:t>
      </w:r>
      <w:r w:rsidR="002432CE" w:rsidRPr="001E4E40">
        <w:rPr>
          <w:rFonts w:eastAsia="Times New Roman" w:cs="Times New Roman"/>
          <w:sz w:val="24"/>
          <w:szCs w:val="24"/>
          <w:lang w:eastAsia="hr-HR"/>
        </w:rPr>
        <w:t xml:space="preserve">) </w:t>
      </w:r>
      <w:r w:rsidRPr="001E4E40">
        <w:rPr>
          <w:rFonts w:eastAsia="Times New Roman" w:cs="Times New Roman"/>
          <w:sz w:val="24"/>
          <w:szCs w:val="24"/>
          <w:lang w:eastAsia="hr-HR"/>
        </w:rPr>
        <w:t>naći</w:t>
      </w:r>
      <w:r w:rsidR="008E47FD" w:rsidRPr="001E4E40">
        <w:rPr>
          <w:rFonts w:eastAsia="Times New Roman" w:cs="Times New Roman"/>
          <w:sz w:val="24"/>
          <w:szCs w:val="24"/>
          <w:lang w:eastAsia="hr-HR"/>
        </w:rPr>
        <w:t xml:space="preserve"> i koristiti s </w:t>
      </w:r>
      <w:r w:rsidR="008F107B" w:rsidRPr="001E4E40">
        <w:rPr>
          <w:rFonts w:eastAsia="Times New Roman" w:cs="Times New Roman"/>
          <w:sz w:val="24"/>
          <w:szCs w:val="24"/>
          <w:lang w:eastAsia="hr-HR"/>
        </w:rPr>
        <w:t>mrežne</w:t>
      </w:r>
      <w:r w:rsidRPr="001E4E40">
        <w:rPr>
          <w:rFonts w:eastAsia="Times New Roman" w:cs="Times New Roman"/>
          <w:sz w:val="24"/>
          <w:szCs w:val="24"/>
          <w:lang w:eastAsia="hr-HR"/>
        </w:rPr>
        <w:t xml:space="preserve"> stranice Ministarstva financija </w:t>
      </w:r>
      <w:hyperlink r:id="rId20" w:history="1">
        <w:r w:rsidR="008E47FD" w:rsidRPr="001E4E40">
          <w:rPr>
            <w:rStyle w:val="Hyperlink"/>
            <w:rFonts w:cstheme="minorBidi"/>
            <w:sz w:val="24"/>
            <w:szCs w:val="24"/>
          </w:rPr>
          <w:t>http://www.mfin.hr/hr/lokalna-samouprava</w:t>
        </w:r>
      </w:hyperlink>
      <w:r w:rsidR="008E47FD" w:rsidRPr="001E4E40">
        <w:rPr>
          <w:sz w:val="24"/>
          <w:szCs w:val="24"/>
        </w:rPr>
        <w:t>.</w:t>
      </w:r>
    </w:p>
    <w:p w14:paraId="786B27E1" w14:textId="77777777" w:rsidR="008E47FD" w:rsidRPr="006464A0" w:rsidRDefault="008E47FD" w:rsidP="00012A69">
      <w:pPr>
        <w:spacing w:after="0" w:line="240" w:lineRule="auto"/>
        <w:jc w:val="both"/>
        <w:rPr>
          <w:rFonts w:eastAsia="Times New Roman" w:cs="Times New Roman"/>
          <w:sz w:val="24"/>
          <w:szCs w:val="24"/>
          <w:lang w:eastAsia="hr-HR"/>
        </w:rPr>
      </w:pPr>
    </w:p>
    <w:sectPr w:rsidR="008E47FD" w:rsidRPr="006464A0" w:rsidSect="003D56A5">
      <w:footerReference w:type="defaul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24368" w14:textId="77777777" w:rsidR="00225755" w:rsidRDefault="00225755">
      <w:pPr>
        <w:spacing w:after="0" w:line="240" w:lineRule="auto"/>
      </w:pPr>
      <w:r>
        <w:separator/>
      </w:r>
    </w:p>
  </w:endnote>
  <w:endnote w:type="continuationSeparator" w:id="0">
    <w:p w14:paraId="766DA302" w14:textId="77777777" w:rsidR="00225755" w:rsidRDefault="0022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39EE" w14:textId="77777777" w:rsidR="00B515B0" w:rsidRDefault="00B515B0">
    <w:pPr>
      <w:pStyle w:val="Footer"/>
      <w:jc w:val="center"/>
    </w:pPr>
  </w:p>
  <w:p w14:paraId="7AE757F1" w14:textId="77777777" w:rsidR="00B515B0" w:rsidRDefault="00B5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1822"/>
      <w:docPartObj>
        <w:docPartGallery w:val="Page Numbers (Bottom of Page)"/>
        <w:docPartUnique/>
      </w:docPartObj>
    </w:sdtPr>
    <w:sdtEndPr/>
    <w:sdtContent>
      <w:p w14:paraId="0C869186" w14:textId="77777777" w:rsidR="00B515B0" w:rsidRDefault="00B515B0">
        <w:pPr>
          <w:pStyle w:val="Footer"/>
          <w:jc w:val="center"/>
        </w:pPr>
        <w:r>
          <w:fldChar w:fldCharType="begin"/>
        </w:r>
        <w:r>
          <w:instrText>PAGE   \* MERGEFORMAT</w:instrText>
        </w:r>
        <w:r>
          <w:fldChar w:fldCharType="separate"/>
        </w:r>
        <w:r>
          <w:rPr>
            <w:noProof/>
          </w:rPr>
          <w:t>1</w:t>
        </w:r>
        <w:r>
          <w:fldChar w:fldCharType="end"/>
        </w:r>
      </w:p>
    </w:sdtContent>
  </w:sdt>
  <w:p w14:paraId="2189820C" w14:textId="77777777" w:rsidR="00B515B0" w:rsidRDefault="00B51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03541"/>
      <w:docPartObj>
        <w:docPartGallery w:val="Page Numbers (Bottom of Page)"/>
        <w:docPartUnique/>
      </w:docPartObj>
    </w:sdtPr>
    <w:sdtEndPr/>
    <w:sdtContent>
      <w:p w14:paraId="6E673679" w14:textId="4F6E8C58" w:rsidR="00B515B0" w:rsidRDefault="00B515B0">
        <w:pPr>
          <w:pStyle w:val="Footer"/>
          <w:jc w:val="center"/>
        </w:pPr>
        <w:r>
          <w:fldChar w:fldCharType="begin"/>
        </w:r>
        <w:r>
          <w:instrText>PAGE   \* MERGEFORMAT</w:instrText>
        </w:r>
        <w:r>
          <w:fldChar w:fldCharType="separate"/>
        </w:r>
        <w:r w:rsidR="00271DEA">
          <w:rPr>
            <w:noProof/>
          </w:rPr>
          <w:t>1</w:t>
        </w:r>
        <w:r>
          <w:fldChar w:fldCharType="end"/>
        </w:r>
      </w:p>
    </w:sdtContent>
  </w:sdt>
  <w:p w14:paraId="08A1A843" w14:textId="77777777" w:rsidR="00B515B0" w:rsidRDefault="00B5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211F" w14:textId="77777777" w:rsidR="00225755" w:rsidRDefault="00225755">
      <w:pPr>
        <w:spacing w:after="0" w:line="240" w:lineRule="auto"/>
      </w:pPr>
      <w:r>
        <w:separator/>
      </w:r>
    </w:p>
  </w:footnote>
  <w:footnote w:type="continuationSeparator" w:id="0">
    <w:p w14:paraId="382A7A87" w14:textId="77777777" w:rsidR="00225755" w:rsidRDefault="0022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20"/>
    <w:multiLevelType w:val="hybridMultilevel"/>
    <w:tmpl w:val="7DCC7392"/>
    <w:lvl w:ilvl="0" w:tplc="58B8FBD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D690A"/>
    <w:multiLevelType w:val="hybridMultilevel"/>
    <w:tmpl w:val="CE8EA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990E1D"/>
    <w:multiLevelType w:val="hybridMultilevel"/>
    <w:tmpl w:val="5AAAA8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BF314A"/>
    <w:multiLevelType w:val="hybridMultilevel"/>
    <w:tmpl w:val="01429A16"/>
    <w:lvl w:ilvl="0" w:tplc="DB003D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1B17311"/>
    <w:multiLevelType w:val="multilevel"/>
    <w:tmpl w:val="3FE82FF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57036"/>
    <w:multiLevelType w:val="hybridMultilevel"/>
    <w:tmpl w:val="450AED50"/>
    <w:lvl w:ilvl="0" w:tplc="73864868">
      <w:start w:val="1"/>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F7B27"/>
    <w:multiLevelType w:val="hybridMultilevel"/>
    <w:tmpl w:val="B0A66D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B53A65"/>
    <w:multiLevelType w:val="hybridMultilevel"/>
    <w:tmpl w:val="D0169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E97316"/>
    <w:multiLevelType w:val="hybridMultilevel"/>
    <w:tmpl w:val="CB287BA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25DF1E91"/>
    <w:multiLevelType w:val="hybridMultilevel"/>
    <w:tmpl w:val="8812B4D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289468D9"/>
    <w:multiLevelType w:val="hybridMultilevel"/>
    <w:tmpl w:val="4EC8D5DE"/>
    <w:lvl w:ilvl="0" w:tplc="3FF865B6">
      <w:start w:val="1"/>
      <w:numFmt w:val="bullet"/>
      <w:lvlText w:val="—"/>
      <w:lvlJc w:val="left"/>
      <w:pPr>
        <w:tabs>
          <w:tab w:val="num" w:pos="720"/>
        </w:tabs>
        <w:ind w:left="720" w:hanging="360"/>
      </w:pPr>
      <w:rPr>
        <w:rFonts w:ascii="Times New Roman" w:hAnsi="Times New Roman" w:hint="default"/>
      </w:rPr>
    </w:lvl>
    <w:lvl w:ilvl="1" w:tplc="8E8C11D8">
      <w:start w:val="1"/>
      <w:numFmt w:val="bullet"/>
      <w:lvlText w:val="—"/>
      <w:lvlJc w:val="left"/>
      <w:pPr>
        <w:tabs>
          <w:tab w:val="num" w:pos="1440"/>
        </w:tabs>
        <w:ind w:left="1440" w:hanging="360"/>
      </w:pPr>
      <w:rPr>
        <w:rFonts w:ascii="Times New Roman" w:hAnsi="Times New Roman" w:hint="default"/>
      </w:rPr>
    </w:lvl>
    <w:lvl w:ilvl="2" w:tplc="C9847794" w:tentative="1">
      <w:start w:val="1"/>
      <w:numFmt w:val="bullet"/>
      <w:lvlText w:val="—"/>
      <w:lvlJc w:val="left"/>
      <w:pPr>
        <w:tabs>
          <w:tab w:val="num" w:pos="2160"/>
        </w:tabs>
        <w:ind w:left="2160" w:hanging="360"/>
      </w:pPr>
      <w:rPr>
        <w:rFonts w:ascii="Times New Roman" w:hAnsi="Times New Roman" w:hint="default"/>
      </w:rPr>
    </w:lvl>
    <w:lvl w:ilvl="3" w:tplc="EDD469C2" w:tentative="1">
      <w:start w:val="1"/>
      <w:numFmt w:val="bullet"/>
      <w:lvlText w:val="—"/>
      <w:lvlJc w:val="left"/>
      <w:pPr>
        <w:tabs>
          <w:tab w:val="num" w:pos="2880"/>
        </w:tabs>
        <w:ind w:left="2880" w:hanging="360"/>
      </w:pPr>
      <w:rPr>
        <w:rFonts w:ascii="Times New Roman" w:hAnsi="Times New Roman" w:hint="default"/>
      </w:rPr>
    </w:lvl>
    <w:lvl w:ilvl="4" w:tplc="C7D603C6" w:tentative="1">
      <w:start w:val="1"/>
      <w:numFmt w:val="bullet"/>
      <w:lvlText w:val="—"/>
      <w:lvlJc w:val="left"/>
      <w:pPr>
        <w:tabs>
          <w:tab w:val="num" w:pos="3600"/>
        </w:tabs>
        <w:ind w:left="3600" w:hanging="360"/>
      </w:pPr>
      <w:rPr>
        <w:rFonts w:ascii="Times New Roman" w:hAnsi="Times New Roman" w:hint="default"/>
      </w:rPr>
    </w:lvl>
    <w:lvl w:ilvl="5" w:tplc="179AF4A8" w:tentative="1">
      <w:start w:val="1"/>
      <w:numFmt w:val="bullet"/>
      <w:lvlText w:val="—"/>
      <w:lvlJc w:val="left"/>
      <w:pPr>
        <w:tabs>
          <w:tab w:val="num" w:pos="4320"/>
        </w:tabs>
        <w:ind w:left="4320" w:hanging="360"/>
      </w:pPr>
      <w:rPr>
        <w:rFonts w:ascii="Times New Roman" w:hAnsi="Times New Roman" w:hint="default"/>
      </w:rPr>
    </w:lvl>
    <w:lvl w:ilvl="6" w:tplc="7A605200" w:tentative="1">
      <w:start w:val="1"/>
      <w:numFmt w:val="bullet"/>
      <w:lvlText w:val="—"/>
      <w:lvlJc w:val="left"/>
      <w:pPr>
        <w:tabs>
          <w:tab w:val="num" w:pos="5040"/>
        </w:tabs>
        <w:ind w:left="5040" w:hanging="360"/>
      </w:pPr>
      <w:rPr>
        <w:rFonts w:ascii="Times New Roman" w:hAnsi="Times New Roman" w:hint="default"/>
      </w:rPr>
    </w:lvl>
    <w:lvl w:ilvl="7" w:tplc="324E5FB4" w:tentative="1">
      <w:start w:val="1"/>
      <w:numFmt w:val="bullet"/>
      <w:lvlText w:val="—"/>
      <w:lvlJc w:val="left"/>
      <w:pPr>
        <w:tabs>
          <w:tab w:val="num" w:pos="5760"/>
        </w:tabs>
        <w:ind w:left="5760" w:hanging="360"/>
      </w:pPr>
      <w:rPr>
        <w:rFonts w:ascii="Times New Roman" w:hAnsi="Times New Roman" w:hint="default"/>
      </w:rPr>
    </w:lvl>
    <w:lvl w:ilvl="8" w:tplc="D5B039F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2E1A49"/>
    <w:multiLevelType w:val="hybridMultilevel"/>
    <w:tmpl w:val="B046FE70"/>
    <w:lvl w:ilvl="0" w:tplc="B79C4CA4">
      <w:start w:val="7"/>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BE62D32"/>
    <w:multiLevelType w:val="hybridMultilevel"/>
    <w:tmpl w:val="093EE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5E3A29"/>
    <w:multiLevelType w:val="hybridMultilevel"/>
    <w:tmpl w:val="FABC8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D96FD9"/>
    <w:multiLevelType w:val="hybridMultilevel"/>
    <w:tmpl w:val="80B8B874"/>
    <w:lvl w:ilvl="0" w:tplc="08090001">
      <w:numFmt w:val="bullet"/>
      <w:lvlText w:val="-"/>
      <w:lvlJc w:val="left"/>
      <w:pPr>
        <w:ind w:left="644" w:hanging="360"/>
      </w:pPr>
      <w:rPr>
        <w:rFonts w:ascii="Arial" w:eastAsiaTheme="minorHAnsi" w:hAnsi="Arial" w:cs="Arial"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9297C10"/>
    <w:multiLevelType w:val="hybridMultilevel"/>
    <w:tmpl w:val="D0527E14"/>
    <w:lvl w:ilvl="0" w:tplc="54CA625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BB3CAD"/>
    <w:multiLevelType w:val="hybridMultilevel"/>
    <w:tmpl w:val="13D67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B35536C"/>
    <w:multiLevelType w:val="hybridMultilevel"/>
    <w:tmpl w:val="2A56AF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5BEF1BF0"/>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6950D3"/>
    <w:multiLevelType w:val="hybridMultilevel"/>
    <w:tmpl w:val="F4342CC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5E54749E"/>
    <w:multiLevelType w:val="hybridMultilevel"/>
    <w:tmpl w:val="4D26259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1" w15:restartNumberingAfterBreak="0">
    <w:nsid w:val="6465515E"/>
    <w:multiLevelType w:val="multilevel"/>
    <w:tmpl w:val="83EC6D5C"/>
    <w:lvl w:ilvl="0">
      <w:start w:val="3"/>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0F61FB"/>
    <w:multiLevelType w:val="hybridMultilevel"/>
    <w:tmpl w:val="86B8A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6244BC"/>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F524F5"/>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DE45D7"/>
    <w:multiLevelType w:val="hybridMultilevel"/>
    <w:tmpl w:val="260E38F6"/>
    <w:lvl w:ilvl="0" w:tplc="16A62FB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335ADE"/>
    <w:multiLevelType w:val="multilevel"/>
    <w:tmpl w:val="7254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EB3C87"/>
    <w:multiLevelType w:val="hybridMultilevel"/>
    <w:tmpl w:val="84F05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EF4E8F"/>
    <w:multiLevelType w:val="hybridMultilevel"/>
    <w:tmpl w:val="F8B26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
  </w:num>
  <w:num w:numId="4">
    <w:abstractNumId w:val="0"/>
  </w:num>
  <w:num w:numId="5">
    <w:abstractNumId w:val="16"/>
  </w:num>
  <w:num w:numId="6">
    <w:abstractNumId w:val="13"/>
  </w:num>
  <w:num w:numId="7">
    <w:abstractNumId w:val="2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2"/>
  </w:num>
  <w:num w:numId="12">
    <w:abstractNumId w:val="9"/>
  </w:num>
  <w:num w:numId="13">
    <w:abstractNumId w:val="25"/>
  </w:num>
  <w:num w:numId="14">
    <w:abstractNumId w:val="15"/>
  </w:num>
  <w:num w:numId="15">
    <w:abstractNumId w:val="1"/>
  </w:num>
  <w:num w:numId="16">
    <w:abstractNumId w:val="17"/>
  </w:num>
  <w:num w:numId="17">
    <w:abstractNumId w:val="26"/>
  </w:num>
  <w:num w:numId="18">
    <w:abstractNumId w:val="27"/>
  </w:num>
  <w:num w:numId="19">
    <w:abstractNumId w:val="6"/>
  </w:num>
  <w:num w:numId="20">
    <w:abstractNumId w:val="21"/>
  </w:num>
  <w:num w:numId="21">
    <w:abstractNumId w:val="14"/>
  </w:num>
  <w:num w:numId="22">
    <w:abstractNumId w:val="5"/>
  </w:num>
  <w:num w:numId="23">
    <w:abstractNumId w:val="20"/>
  </w:num>
  <w:num w:numId="24">
    <w:abstractNumId w:val="24"/>
  </w:num>
  <w:num w:numId="25">
    <w:abstractNumId w:val="7"/>
  </w:num>
  <w:num w:numId="26">
    <w:abstractNumId w:val="2"/>
  </w:num>
  <w:num w:numId="27">
    <w:abstractNumId w:val="23"/>
  </w:num>
  <w:num w:numId="28">
    <w:abstractNumId w:val="18"/>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06"/>
    <w:rsid w:val="00004733"/>
    <w:rsid w:val="000073E7"/>
    <w:rsid w:val="000077A1"/>
    <w:rsid w:val="00012A69"/>
    <w:rsid w:val="00016648"/>
    <w:rsid w:val="00023405"/>
    <w:rsid w:val="000247F5"/>
    <w:rsid w:val="000248AF"/>
    <w:rsid w:val="00024B42"/>
    <w:rsid w:val="00025A50"/>
    <w:rsid w:val="00027D25"/>
    <w:rsid w:val="0003188E"/>
    <w:rsid w:val="00031E62"/>
    <w:rsid w:val="00035DBB"/>
    <w:rsid w:val="00037A36"/>
    <w:rsid w:val="00045B80"/>
    <w:rsid w:val="0004713A"/>
    <w:rsid w:val="000536DE"/>
    <w:rsid w:val="00054A9B"/>
    <w:rsid w:val="00061306"/>
    <w:rsid w:val="00062615"/>
    <w:rsid w:val="000707D6"/>
    <w:rsid w:val="00074F89"/>
    <w:rsid w:val="000800C2"/>
    <w:rsid w:val="00080C48"/>
    <w:rsid w:val="00080D7E"/>
    <w:rsid w:val="000827D8"/>
    <w:rsid w:val="00082E4B"/>
    <w:rsid w:val="00082FE8"/>
    <w:rsid w:val="000858B3"/>
    <w:rsid w:val="000866AB"/>
    <w:rsid w:val="00086F1F"/>
    <w:rsid w:val="00091FE8"/>
    <w:rsid w:val="00093CD6"/>
    <w:rsid w:val="00093FC8"/>
    <w:rsid w:val="00097A01"/>
    <w:rsid w:val="000A1D3C"/>
    <w:rsid w:val="000A572C"/>
    <w:rsid w:val="000A7D5F"/>
    <w:rsid w:val="000B5E65"/>
    <w:rsid w:val="000B5E7D"/>
    <w:rsid w:val="000C1624"/>
    <w:rsid w:val="000C4693"/>
    <w:rsid w:val="000C4AC2"/>
    <w:rsid w:val="000C7386"/>
    <w:rsid w:val="000D0837"/>
    <w:rsid w:val="000D1544"/>
    <w:rsid w:val="000D7CA4"/>
    <w:rsid w:val="000E2179"/>
    <w:rsid w:val="000E4EFC"/>
    <w:rsid w:val="000E5A83"/>
    <w:rsid w:val="000E6DCB"/>
    <w:rsid w:val="000E6DD1"/>
    <w:rsid w:val="000F24ED"/>
    <w:rsid w:val="000F2FE4"/>
    <w:rsid w:val="000F3ACA"/>
    <w:rsid w:val="000F5830"/>
    <w:rsid w:val="000F5F15"/>
    <w:rsid w:val="000F6015"/>
    <w:rsid w:val="000F750B"/>
    <w:rsid w:val="00101ED9"/>
    <w:rsid w:val="001035FE"/>
    <w:rsid w:val="00105CB2"/>
    <w:rsid w:val="00111E41"/>
    <w:rsid w:val="00112924"/>
    <w:rsid w:val="001143DB"/>
    <w:rsid w:val="00117519"/>
    <w:rsid w:val="00117ECF"/>
    <w:rsid w:val="0012074A"/>
    <w:rsid w:val="00121433"/>
    <w:rsid w:val="001269CB"/>
    <w:rsid w:val="0013098B"/>
    <w:rsid w:val="00131051"/>
    <w:rsid w:val="00131F57"/>
    <w:rsid w:val="00132909"/>
    <w:rsid w:val="001344C2"/>
    <w:rsid w:val="0013799C"/>
    <w:rsid w:val="00141A75"/>
    <w:rsid w:val="001433C7"/>
    <w:rsid w:val="001460A7"/>
    <w:rsid w:val="00150E0F"/>
    <w:rsid w:val="00150E55"/>
    <w:rsid w:val="001563F8"/>
    <w:rsid w:val="00157494"/>
    <w:rsid w:val="001575B9"/>
    <w:rsid w:val="001618C8"/>
    <w:rsid w:val="00163A98"/>
    <w:rsid w:val="00165460"/>
    <w:rsid w:val="0016670F"/>
    <w:rsid w:val="00166E35"/>
    <w:rsid w:val="0017391E"/>
    <w:rsid w:val="001801D5"/>
    <w:rsid w:val="00182A01"/>
    <w:rsid w:val="00185AFC"/>
    <w:rsid w:val="00190B3A"/>
    <w:rsid w:val="001955E3"/>
    <w:rsid w:val="001965C2"/>
    <w:rsid w:val="00196B1E"/>
    <w:rsid w:val="001A16C5"/>
    <w:rsid w:val="001A7B00"/>
    <w:rsid w:val="001B186B"/>
    <w:rsid w:val="001B27E7"/>
    <w:rsid w:val="001B6381"/>
    <w:rsid w:val="001B720F"/>
    <w:rsid w:val="001B7DA3"/>
    <w:rsid w:val="001C1FF0"/>
    <w:rsid w:val="001C3E0E"/>
    <w:rsid w:val="001C7AF8"/>
    <w:rsid w:val="001D5B49"/>
    <w:rsid w:val="001D7D67"/>
    <w:rsid w:val="001E1705"/>
    <w:rsid w:val="001E1C2A"/>
    <w:rsid w:val="001E4E40"/>
    <w:rsid w:val="001F52F7"/>
    <w:rsid w:val="001F74B6"/>
    <w:rsid w:val="001F74D1"/>
    <w:rsid w:val="0020042E"/>
    <w:rsid w:val="00204592"/>
    <w:rsid w:val="00211E12"/>
    <w:rsid w:val="00213048"/>
    <w:rsid w:val="0021327F"/>
    <w:rsid w:val="0021463B"/>
    <w:rsid w:val="00225755"/>
    <w:rsid w:val="0023051A"/>
    <w:rsid w:val="00231077"/>
    <w:rsid w:val="00240222"/>
    <w:rsid w:val="002432CE"/>
    <w:rsid w:val="00251086"/>
    <w:rsid w:val="0025241D"/>
    <w:rsid w:val="002528C2"/>
    <w:rsid w:val="002528C5"/>
    <w:rsid w:val="00256202"/>
    <w:rsid w:val="002616E6"/>
    <w:rsid w:val="00266797"/>
    <w:rsid w:val="00271469"/>
    <w:rsid w:val="002714D4"/>
    <w:rsid w:val="00271768"/>
    <w:rsid w:val="00271DEA"/>
    <w:rsid w:val="002765F5"/>
    <w:rsid w:val="00277C2F"/>
    <w:rsid w:val="00280CE0"/>
    <w:rsid w:val="0028402A"/>
    <w:rsid w:val="0029532D"/>
    <w:rsid w:val="00297560"/>
    <w:rsid w:val="00297B34"/>
    <w:rsid w:val="002A0972"/>
    <w:rsid w:val="002A7167"/>
    <w:rsid w:val="002A7D78"/>
    <w:rsid w:val="002B0275"/>
    <w:rsid w:val="002B3B09"/>
    <w:rsid w:val="002B5256"/>
    <w:rsid w:val="002C08F0"/>
    <w:rsid w:val="002C2C37"/>
    <w:rsid w:val="002C5852"/>
    <w:rsid w:val="002C73CD"/>
    <w:rsid w:val="002D470A"/>
    <w:rsid w:val="002D58CD"/>
    <w:rsid w:val="002D610D"/>
    <w:rsid w:val="002E15A0"/>
    <w:rsid w:val="002E300F"/>
    <w:rsid w:val="002F5A5C"/>
    <w:rsid w:val="002F7720"/>
    <w:rsid w:val="003002F2"/>
    <w:rsid w:val="00300CE0"/>
    <w:rsid w:val="00303A63"/>
    <w:rsid w:val="00303B39"/>
    <w:rsid w:val="00303B5E"/>
    <w:rsid w:val="00304151"/>
    <w:rsid w:val="00306289"/>
    <w:rsid w:val="0030703F"/>
    <w:rsid w:val="00310BF6"/>
    <w:rsid w:val="0031139A"/>
    <w:rsid w:val="003125FE"/>
    <w:rsid w:val="003155AD"/>
    <w:rsid w:val="00317607"/>
    <w:rsid w:val="00317BF3"/>
    <w:rsid w:val="003221E5"/>
    <w:rsid w:val="003333F5"/>
    <w:rsid w:val="003440D0"/>
    <w:rsid w:val="00345E73"/>
    <w:rsid w:val="003538DD"/>
    <w:rsid w:val="003546D7"/>
    <w:rsid w:val="00357807"/>
    <w:rsid w:val="003641FF"/>
    <w:rsid w:val="00371AF8"/>
    <w:rsid w:val="00374439"/>
    <w:rsid w:val="00375515"/>
    <w:rsid w:val="00380573"/>
    <w:rsid w:val="00381B9B"/>
    <w:rsid w:val="00382544"/>
    <w:rsid w:val="0038381B"/>
    <w:rsid w:val="00391060"/>
    <w:rsid w:val="00393518"/>
    <w:rsid w:val="00397376"/>
    <w:rsid w:val="003A5738"/>
    <w:rsid w:val="003A6E04"/>
    <w:rsid w:val="003A7BF0"/>
    <w:rsid w:val="003A7C8F"/>
    <w:rsid w:val="003B108A"/>
    <w:rsid w:val="003C0F56"/>
    <w:rsid w:val="003C5BB2"/>
    <w:rsid w:val="003D443E"/>
    <w:rsid w:val="003D52F5"/>
    <w:rsid w:val="003D56A5"/>
    <w:rsid w:val="003D60FF"/>
    <w:rsid w:val="003D77C1"/>
    <w:rsid w:val="003E1970"/>
    <w:rsid w:val="003E1EFA"/>
    <w:rsid w:val="003E3331"/>
    <w:rsid w:val="003E597A"/>
    <w:rsid w:val="003E6DA8"/>
    <w:rsid w:val="003F2027"/>
    <w:rsid w:val="003F45FB"/>
    <w:rsid w:val="003F5B10"/>
    <w:rsid w:val="003F5F9C"/>
    <w:rsid w:val="003F6734"/>
    <w:rsid w:val="00406BA4"/>
    <w:rsid w:val="00412590"/>
    <w:rsid w:val="00413252"/>
    <w:rsid w:val="00413789"/>
    <w:rsid w:val="00416EBC"/>
    <w:rsid w:val="004202A9"/>
    <w:rsid w:val="00424B09"/>
    <w:rsid w:val="00424DEA"/>
    <w:rsid w:val="00425358"/>
    <w:rsid w:val="00426590"/>
    <w:rsid w:val="00430517"/>
    <w:rsid w:val="00432355"/>
    <w:rsid w:val="00435DC2"/>
    <w:rsid w:val="0043783A"/>
    <w:rsid w:val="00442F76"/>
    <w:rsid w:val="0044758F"/>
    <w:rsid w:val="0044773E"/>
    <w:rsid w:val="00450DA7"/>
    <w:rsid w:val="0045360A"/>
    <w:rsid w:val="0045552F"/>
    <w:rsid w:val="004605D0"/>
    <w:rsid w:val="0046067E"/>
    <w:rsid w:val="00465367"/>
    <w:rsid w:val="004749CC"/>
    <w:rsid w:val="00481458"/>
    <w:rsid w:val="0048298F"/>
    <w:rsid w:val="00483C2C"/>
    <w:rsid w:val="00485CCE"/>
    <w:rsid w:val="004871E7"/>
    <w:rsid w:val="004A792E"/>
    <w:rsid w:val="004A7C46"/>
    <w:rsid w:val="004C19E3"/>
    <w:rsid w:val="004C1E22"/>
    <w:rsid w:val="004D1F5C"/>
    <w:rsid w:val="004D2B2D"/>
    <w:rsid w:val="004E0E61"/>
    <w:rsid w:val="004E368F"/>
    <w:rsid w:val="004E4349"/>
    <w:rsid w:val="004E6913"/>
    <w:rsid w:val="004F6576"/>
    <w:rsid w:val="004F6A52"/>
    <w:rsid w:val="004F7C57"/>
    <w:rsid w:val="00510CB5"/>
    <w:rsid w:val="00511ADD"/>
    <w:rsid w:val="005124E3"/>
    <w:rsid w:val="0051682A"/>
    <w:rsid w:val="00524D92"/>
    <w:rsid w:val="00526125"/>
    <w:rsid w:val="0052766F"/>
    <w:rsid w:val="00527A14"/>
    <w:rsid w:val="00534B5C"/>
    <w:rsid w:val="00540398"/>
    <w:rsid w:val="005426BC"/>
    <w:rsid w:val="00544A4C"/>
    <w:rsid w:val="00546597"/>
    <w:rsid w:val="0055730A"/>
    <w:rsid w:val="00561FB2"/>
    <w:rsid w:val="005644C6"/>
    <w:rsid w:val="00564F0A"/>
    <w:rsid w:val="00566E80"/>
    <w:rsid w:val="00566FAC"/>
    <w:rsid w:val="005708A0"/>
    <w:rsid w:val="0057153B"/>
    <w:rsid w:val="00572BFB"/>
    <w:rsid w:val="005807AA"/>
    <w:rsid w:val="005836ED"/>
    <w:rsid w:val="00584F41"/>
    <w:rsid w:val="00594AC8"/>
    <w:rsid w:val="0059616E"/>
    <w:rsid w:val="005A1455"/>
    <w:rsid w:val="005A3DAA"/>
    <w:rsid w:val="005A59BA"/>
    <w:rsid w:val="005C011F"/>
    <w:rsid w:val="005C1F38"/>
    <w:rsid w:val="005C427D"/>
    <w:rsid w:val="005C7B41"/>
    <w:rsid w:val="005E0045"/>
    <w:rsid w:val="005E2DB8"/>
    <w:rsid w:val="005E4FB8"/>
    <w:rsid w:val="005F0D4F"/>
    <w:rsid w:val="005F12D0"/>
    <w:rsid w:val="005F2ECE"/>
    <w:rsid w:val="005F2EEF"/>
    <w:rsid w:val="005F4259"/>
    <w:rsid w:val="005F5474"/>
    <w:rsid w:val="0060357B"/>
    <w:rsid w:val="00612E81"/>
    <w:rsid w:val="00616C84"/>
    <w:rsid w:val="00620332"/>
    <w:rsid w:val="00623B53"/>
    <w:rsid w:val="00626361"/>
    <w:rsid w:val="00626C24"/>
    <w:rsid w:val="006275CA"/>
    <w:rsid w:val="00627838"/>
    <w:rsid w:val="00633077"/>
    <w:rsid w:val="00640653"/>
    <w:rsid w:val="00643ED4"/>
    <w:rsid w:val="00645898"/>
    <w:rsid w:val="006464A0"/>
    <w:rsid w:val="006464CE"/>
    <w:rsid w:val="00654042"/>
    <w:rsid w:val="006574B2"/>
    <w:rsid w:val="00661197"/>
    <w:rsid w:val="00661210"/>
    <w:rsid w:val="006676A5"/>
    <w:rsid w:val="006739CE"/>
    <w:rsid w:val="0067741E"/>
    <w:rsid w:val="006818EB"/>
    <w:rsid w:val="006821CF"/>
    <w:rsid w:val="00682602"/>
    <w:rsid w:val="00682C0D"/>
    <w:rsid w:val="0068679B"/>
    <w:rsid w:val="00687B46"/>
    <w:rsid w:val="006A4EA9"/>
    <w:rsid w:val="006A5585"/>
    <w:rsid w:val="006A7C4C"/>
    <w:rsid w:val="006A7C68"/>
    <w:rsid w:val="006B3EB6"/>
    <w:rsid w:val="006B7BBD"/>
    <w:rsid w:val="006C1C70"/>
    <w:rsid w:val="006C4DF3"/>
    <w:rsid w:val="006C4FEA"/>
    <w:rsid w:val="006D68CD"/>
    <w:rsid w:val="006E15CF"/>
    <w:rsid w:val="006E25C0"/>
    <w:rsid w:val="006E5A25"/>
    <w:rsid w:val="006E64E5"/>
    <w:rsid w:val="006E746D"/>
    <w:rsid w:val="006F63A8"/>
    <w:rsid w:val="006F7D03"/>
    <w:rsid w:val="00720291"/>
    <w:rsid w:val="00720E0B"/>
    <w:rsid w:val="00723E28"/>
    <w:rsid w:val="00725260"/>
    <w:rsid w:val="00730AE6"/>
    <w:rsid w:val="0073563E"/>
    <w:rsid w:val="0074496A"/>
    <w:rsid w:val="0075321E"/>
    <w:rsid w:val="00754196"/>
    <w:rsid w:val="0075422A"/>
    <w:rsid w:val="00754C39"/>
    <w:rsid w:val="00755C3D"/>
    <w:rsid w:val="007577AF"/>
    <w:rsid w:val="00762AAA"/>
    <w:rsid w:val="00765E7B"/>
    <w:rsid w:val="00765F37"/>
    <w:rsid w:val="00771D6C"/>
    <w:rsid w:val="00773D3C"/>
    <w:rsid w:val="007741AE"/>
    <w:rsid w:val="00776BE6"/>
    <w:rsid w:val="007812B4"/>
    <w:rsid w:val="00796BA5"/>
    <w:rsid w:val="007A7563"/>
    <w:rsid w:val="007B4CF9"/>
    <w:rsid w:val="007B63C3"/>
    <w:rsid w:val="007D1044"/>
    <w:rsid w:val="007D287B"/>
    <w:rsid w:val="007D5665"/>
    <w:rsid w:val="007E0658"/>
    <w:rsid w:val="007E1260"/>
    <w:rsid w:val="007E1B10"/>
    <w:rsid w:val="007F1DE2"/>
    <w:rsid w:val="007F33BD"/>
    <w:rsid w:val="007F392B"/>
    <w:rsid w:val="007F3FBA"/>
    <w:rsid w:val="00801BFC"/>
    <w:rsid w:val="00806C4D"/>
    <w:rsid w:val="00807FC3"/>
    <w:rsid w:val="00812940"/>
    <w:rsid w:val="00814A1B"/>
    <w:rsid w:val="00816110"/>
    <w:rsid w:val="008170B0"/>
    <w:rsid w:val="00821B91"/>
    <w:rsid w:val="00827DFF"/>
    <w:rsid w:val="00835ED7"/>
    <w:rsid w:val="008369F9"/>
    <w:rsid w:val="00844010"/>
    <w:rsid w:val="00853114"/>
    <w:rsid w:val="008565CA"/>
    <w:rsid w:val="008627CF"/>
    <w:rsid w:val="00864C98"/>
    <w:rsid w:val="0086735D"/>
    <w:rsid w:val="0087328B"/>
    <w:rsid w:val="008813EF"/>
    <w:rsid w:val="0088746B"/>
    <w:rsid w:val="008878B3"/>
    <w:rsid w:val="008907C7"/>
    <w:rsid w:val="008946C6"/>
    <w:rsid w:val="008A0639"/>
    <w:rsid w:val="008A2D38"/>
    <w:rsid w:val="008A3447"/>
    <w:rsid w:val="008A66D4"/>
    <w:rsid w:val="008B413A"/>
    <w:rsid w:val="008B65E2"/>
    <w:rsid w:val="008C0ECC"/>
    <w:rsid w:val="008C1412"/>
    <w:rsid w:val="008C1938"/>
    <w:rsid w:val="008C4869"/>
    <w:rsid w:val="008C5925"/>
    <w:rsid w:val="008D2A56"/>
    <w:rsid w:val="008D5E8A"/>
    <w:rsid w:val="008D6AFF"/>
    <w:rsid w:val="008E19BC"/>
    <w:rsid w:val="008E47FD"/>
    <w:rsid w:val="008E5648"/>
    <w:rsid w:val="008E61A8"/>
    <w:rsid w:val="008E7A6E"/>
    <w:rsid w:val="008F08A6"/>
    <w:rsid w:val="008F107B"/>
    <w:rsid w:val="008F1A15"/>
    <w:rsid w:val="008F3C4A"/>
    <w:rsid w:val="009004C4"/>
    <w:rsid w:val="00902FB3"/>
    <w:rsid w:val="009049CE"/>
    <w:rsid w:val="00907E52"/>
    <w:rsid w:val="009155EE"/>
    <w:rsid w:val="00917956"/>
    <w:rsid w:val="00922A1F"/>
    <w:rsid w:val="00926496"/>
    <w:rsid w:val="00926999"/>
    <w:rsid w:val="00936BF0"/>
    <w:rsid w:val="00941B9D"/>
    <w:rsid w:val="00942459"/>
    <w:rsid w:val="009452E8"/>
    <w:rsid w:val="0094728B"/>
    <w:rsid w:val="009478EF"/>
    <w:rsid w:val="00947FD4"/>
    <w:rsid w:val="0095029D"/>
    <w:rsid w:val="00961AD9"/>
    <w:rsid w:val="00962DD9"/>
    <w:rsid w:val="00966569"/>
    <w:rsid w:val="00966DB0"/>
    <w:rsid w:val="009709F5"/>
    <w:rsid w:val="009754C6"/>
    <w:rsid w:val="009764EC"/>
    <w:rsid w:val="0098004B"/>
    <w:rsid w:val="0098075D"/>
    <w:rsid w:val="009809CA"/>
    <w:rsid w:val="00982A7F"/>
    <w:rsid w:val="009908A5"/>
    <w:rsid w:val="00994086"/>
    <w:rsid w:val="00994837"/>
    <w:rsid w:val="00997973"/>
    <w:rsid w:val="009A226C"/>
    <w:rsid w:val="009A33D1"/>
    <w:rsid w:val="009A4C7B"/>
    <w:rsid w:val="009B1CF9"/>
    <w:rsid w:val="009B6602"/>
    <w:rsid w:val="009C3562"/>
    <w:rsid w:val="009C69FB"/>
    <w:rsid w:val="009E2A46"/>
    <w:rsid w:val="009F321D"/>
    <w:rsid w:val="009F48A3"/>
    <w:rsid w:val="009F593E"/>
    <w:rsid w:val="00A113FC"/>
    <w:rsid w:val="00A11A14"/>
    <w:rsid w:val="00A11CDF"/>
    <w:rsid w:val="00A1304E"/>
    <w:rsid w:val="00A24568"/>
    <w:rsid w:val="00A24AC6"/>
    <w:rsid w:val="00A25824"/>
    <w:rsid w:val="00A279D0"/>
    <w:rsid w:val="00A32ACB"/>
    <w:rsid w:val="00A36121"/>
    <w:rsid w:val="00A4083F"/>
    <w:rsid w:val="00A4210A"/>
    <w:rsid w:val="00A4357A"/>
    <w:rsid w:val="00A53468"/>
    <w:rsid w:val="00A534F1"/>
    <w:rsid w:val="00A5470E"/>
    <w:rsid w:val="00A549EF"/>
    <w:rsid w:val="00A560EC"/>
    <w:rsid w:val="00A64370"/>
    <w:rsid w:val="00A67E56"/>
    <w:rsid w:val="00A714DB"/>
    <w:rsid w:val="00A71D38"/>
    <w:rsid w:val="00A72EB7"/>
    <w:rsid w:val="00A73964"/>
    <w:rsid w:val="00A81D4D"/>
    <w:rsid w:val="00A83443"/>
    <w:rsid w:val="00A85533"/>
    <w:rsid w:val="00A85EAE"/>
    <w:rsid w:val="00A869EE"/>
    <w:rsid w:val="00A86F44"/>
    <w:rsid w:val="00A950EB"/>
    <w:rsid w:val="00A96D1E"/>
    <w:rsid w:val="00A974BD"/>
    <w:rsid w:val="00AA445B"/>
    <w:rsid w:val="00AB1C38"/>
    <w:rsid w:val="00AB4259"/>
    <w:rsid w:val="00AC0A66"/>
    <w:rsid w:val="00AC12D9"/>
    <w:rsid w:val="00AC4DCF"/>
    <w:rsid w:val="00AC5975"/>
    <w:rsid w:val="00AD013D"/>
    <w:rsid w:val="00AD2DAF"/>
    <w:rsid w:val="00AD3929"/>
    <w:rsid w:val="00AD4EA8"/>
    <w:rsid w:val="00AD512F"/>
    <w:rsid w:val="00AD6E91"/>
    <w:rsid w:val="00AD7611"/>
    <w:rsid w:val="00AE6DA3"/>
    <w:rsid w:val="00B059C8"/>
    <w:rsid w:val="00B05B3F"/>
    <w:rsid w:val="00B0632D"/>
    <w:rsid w:val="00B13B0F"/>
    <w:rsid w:val="00B145E7"/>
    <w:rsid w:val="00B21A18"/>
    <w:rsid w:val="00B21D3B"/>
    <w:rsid w:val="00B224B1"/>
    <w:rsid w:val="00B2522A"/>
    <w:rsid w:val="00B35A2E"/>
    <w:rsid w:val="00B40029"/>
    <w:rsid w:val="00B41309"/>
    <w:rsid w:val="00B429DF"/>
    <w:rsid w:val="00B42F83"/>
    <w:rsid w:val="00B4322D"/>
    <w:rsid w:val="00B443ED"/>
    <w:rsid w:val="00B47B8D"/>
    <w:rsid w:val="00B515B0"/>
    <w:rsid w:val="00B61C5B"/>
    <w:rsid w:val="00B621C7"/>
    <w:rsid w:val="00B725F7"/>
    <w:rsid w:val="00B74A80"/>
    <w:rsid w:val="00B82DAD"/>
    <w:rsid w:val="00B84C44"/>
    <w:rsid w:val="00B8629F"/>
    <w:rsid w:val="00B87376"/>
    <w:rsid w:val="00B902CD"/>
    <w:rsid w:val="00B918E3"/>
    <w:rsid w:val="00B9293A"/>
    <w:rsid w:val="00B944C0"/>
    <w:rsid w:val="00B953E4"/>
    <w:rsid w:val="00BA66B1"/>
    <w:rsid w:val="00BA74A1"/>
    <w:rsid w:val="00BA78FF"/>
    <w:rsid w:val="00BB1881"/>
    <w:rsid w:val="00BB63BA"/>
    <w:rsid w:val="00BB6742"/>
    <w:rsid w:val="00BB6C07"/>
    <w:rsid w:val="00BC3229"/>
    <w:rsid w:val="00BC6CD0"/>
    <w:rsid w:val="00BD12B0"/>
    <w:rsid w:val="00BD1E9F"/>
    <w:rsid w:val="00BD319C"/>
    <w:rsid w:val="00BE071E"/>
    <w:rsid w:val="00BE3430"/>
    <w:rsid w:val="00BE6381"/>
    <w:rsid w:val="00BE6724"/>
    <w:rsid w:val="00BE7F47"/>
    <w:rsid w:val="00BF07A4"/>
    <w:rsid w:val="00BF191D"/>
    <w:rsid w:val="00BF7718"/>
    <w:rsid w:val="00BF798D"/>
    <w:rsid w:val="00C018EC"/>
    <w:rsid w:val="00C019FB"/>
    <w:rsid w:val="00C02B0A"/>
    <w:rsid w:val="00C07AE7"/>
    <w:rsid w:val="00C07C33"/>
    <w:rsid w:val="00C11F27"/>
    <w:rsid w:val="00C16A35"/>
    <w:rsid w:val="00C17D2D"/>
    <w:rsid w:val="00C20C98"/>
    <w:rsid w:val="00C2198F"/>
    <w:rsid w:val="00C32052"/>
    <w:rsid w:val="00C33A6B"/>
    <w:rsid w:val="00C35E04"/>
    <w:rsid w:val="00C3675F"/>
    <w:rsid w:val="00C36ED3"/>
    <w:rsid w:val="00C37BEB"/>
    <w:rsid w:val="00C41FD3"/>
    <w:rsid w:val="00C44788"/>
    <w:rsid w:val="00C506D4"/>
    <w:rsid w:val="00C53FC9"/>
    <w:rsid w:val="00C56D7D"/>
    <w:rsid w:val="00C57046"/>
    <w:rsid w:val="00C60882"/>
    <w:rsid w:val="00C65107"/>
    <w:rsid w:val="00C66B4D"/>
    <w:rsid w:val="00C82EA8"/>
    <w:rsid w:val="00C83617"/>
    <w:rsid w:val="00C838F5"/>
    <w:rsid w:val="00C8441C"/>
    <w:rsid w:val="00C86CFF"/>
    <w:rsid w:val="00C931D7"/>
    <w:rsid w:val="00C96FE3"/>
    <w:rsid w:val="00C97760"/>
    <w:rsid w:val="00CA0871"/>
    <w:rsid w:val="00CA2F62"/>
    <w:rsid w:val="00CA52FD"/>
    <w:rsid w:val="00CB2EE7"/>
    <w:rsid w:val="00CC0554"/>
    <w:rsid w:val="00CC6BDD"/>
    <w:rsid w:val="00CD0A5C"/>
    <w:rsid w:val="00CD4F35"/>
    <w:rsid w:val="00CD6078"/>
    <w:rsid w:val="00CD6E54"/>
    <w:rsid w:val="00CD7856"/>
    <w:rsid w:val="00CE3F43"/>
    <w:rsid w:val="00CE48CD"/>
    <w:rsid w:val="00CF20C0"/>
    <w:rsid w:val="00CF2AFC"/>
    <w:rsid w:val="00CF2C84"/>
    <w:rsid w:val="00CF3130"/>
    <w:rsid w:val="00CF7AE9"/>
    <w:rsid w:val="00D0092C"/>
    <w:rsid w:val="00D0111A"/>
    <w:rsid w:val="00D17290"/>
    <w:rsid w:val="00D1743F"/>
    <w:rsid w:val="00D17D65"/>
    <w:rsid w:val="00D20640"/>
    <w:rsid w:val="00D23A6E"/>
    <w:rsid w:val="00D23D6E"/>
    <w:rsid w:val="00D2513A"/>
    <w:rsid w:val="00D25916"/>
    <w:rsid w:val="00D266C2"/>
    <w:rsid w:val="00D26BDE"/>
    <w:rsid w:val="00D279FD"/>
    <w:rsid w:val="00D327BF"/>
    <w:rsid w:val="00D332AB"/>
    <w:rsid w:val="00D41B3A"/>
    <w:rsid w:val="00D44750"/>
    <w:rsid w:val="00D44C3F"/>
    <w:rsid w:val="00D4554C"/>
    <w:rsid w:val="00D4650B"/>
    <w:rsid w:val="00D530CC"/>
    <w:rsid w:val="00D55019"/>
    <w:rsid w:val="00D558CD"/>
    <w:rsid w:val="00D56B8C"/>
    <w:rsid w:val="00D573FF"/>
    <w:rsid w:val="00D61038"/>
    <w:rsid w:val="00D628C1"/>
    <w:rsid w:val="00D67108"/>
    <w:rsid w:val="00D712E4"/>
    <w:rsid w:val="00D713FE"/>
    <w:rsid w:val="00D7183D"/>
    <w:rsid w:val="00D76836"/>
    <w:rsid w:val="00D80048"/>
    <w:rsid w:val="00D855DE"/>
    <w:rsid w:val="00D90518"/>
    <w:rsid w:val="00D9073C"/>
    <w:rsid w:val="00D91492"/>
    <w:rsid w:val="00D93EE1"/>
    <w:rsid w:val="00DA47A1"/>
    <w:rsid w:val="00DB316C"/>
    <w:rsid w:val="00DB63BB"/>
    <w:rsid w:val="00DC06D2"/>
    <w:rsid w:val="00DC3003"/>
    <w:rsid w:val="00DC3B51"/>
    <w:rsid w:val="00DC7F1F"/>
    <w:rsid w:val="00DD093F"/>
    <w:rsid w:val="00DD139D"/>
    <w:rsid w:val="00DD52FF"/>
    <w:rsid w:val="00DD685F"/>
    <w:rsid w:val="00DE1632"/>
    <w:rsid w:val="00DF22AA"/>
    <w:rsid w:val="00DF33D9"/>
    <w:rsid w:val="00DF59D3"/>
    <w:rsid w:val="00E002A4"/>
    <w:rsid w:val="00E05F5E"/>
    <w:rsid w:val="00E135AB"/>
    <w:rsid w:val="00E1466C"/>
    <w:rsid w:val="00E14BD8"/>
    <w:rsid w:val="00E17872"/>
    <w:rsid w:val="00E17D03"/>
    <w:rsid w:val="00E22283"/>
    <w:rsid w:val="00E2274B"/>
    <w:rsid w:val="00E2416A"/>
    <w:rsid w:val="00E303F8"/>
    <w:rsid w:val="00E31891"/>
    <w:rsid w:val="00E37AE8"/>
    <w:rsid w:val="00E4095C"/>
    <w:rsid w:val="00E40BBC"/>
    <w:rsid w:val="00E46B82"/>
    <w:rsid w:val="00E576EB"/>
    <w:rsid w:val="00E60271"/>
    <w:rsid w:val="00E66F7F"/>
    <w:rsid w:val="00E70E85"/>
    <w:rsid w:val="00E717A5"/>
    <w:rsid w:val="00E820C5"/>
    <w:rsid w:val="00E82568"/>
    <w:rsid w:val="00E838B7"/>
    <w:rsid w:val="00E86CF1"/>
    <w:rsid w:val="00E91D9D"/>
    <w:rsid w:val="00E93614"/>
    <w:rsid w:val="00E9625E"/>
    <w:rsid w:val="00E965C6"/>
    <w:rsid w:val="00EA4F07"/>
    <w:rsid w:val="00EA5B3E"/>
    <w:rsid w:val="00EA79C9"/>
    <w:rsid w:val="00EB0999"/>
    <w:rsid w:val="00EB3360"/>
    <w:rsid w:val="00EB721F"/>
    <w:rsid w:val="00EC1A06"/>
    <w:rsid w:val="00EC391C"/>
    <w:rsid w:val="00ED21AE"/>
    <w:rsid w:val="00ED75C9"/>
    <w:rsid w:val="00ED7EF5"/>
    <w:rsid w:val="00EE0D24"/>
    <w:rsid w:val="00EE556A"/>
    <w:rsid w:val="00EE690F"/>
    <w:rsid w:val="00EF0562"/>
    <w:rsid w:val="00F02F63"/>
    <w:rsid w:val="00F06D81"/>
    <w:rsid w:val="00F139A7"/>
    <w:rsid w:val="00F145A5"/>
    <w:rsid w:val="00F1464A"/>
    <w:rsid w:val="00F1551E"/>
    <w:rsid w:val="00F20FAA"/>
    <w:rsid w:val="00F21CC9"/>
    <w:rsid w:val="00F24666"/>
    <w:rsid w:val="00F269AF"/>
    <w:rsid w:val="00F3557D"/>
    <w:rsid w:val="00F37E2C"/>
    <w:rsid w:val="00F440A0"/>
    <w:rsid w:val="00F455D5"/>
    <w:rsid w:val="00F459FC"/>
    <w:rsid w:val="00F4602F"/>
    <w:rsid w:val="00F46BD8"/>
    <w:rsid w:val="00F47B7C"/>
    <w:rsid w:val="00F533FB"/>
    <w:rsid w:val="00F53F03"/>
    <w:rsid w:val="00F55243"/>
    <w:rsid w:val="00F55680"/>
    <w:rsid w:val="00F61E8C"/>
    <w:rsid w:val="00F66232"/>
    <w:rsid w:val="00F714DE"/>
    <w:rsid w:val="00F717D8"/>
    <w:rsid w:val="00F75E28"/>
    <w:rsid w:val="00F76E38"/>
    <w:rsid w:val="00F8368F"/>
    <w:rsid w:val="00F8605C"/>
    <w:rsid w:val="00F934DC"/>
    <w:rsid w:val="00F976A1"/>
    <w:rsid w:val="00F9797D"/>
    <w:rsid w:val="00F97A4F"/>
    <w:rsid w:val="00FA1432"/>
    <w:rsid w:val="00FA23CB"/>
    <w:rsid w:val="00FA339C"/>
    <w:rsid w:val="00FA3C00"/>
    <w:rsid w:val="00FA4E11"/>
    <w:rsid w:val="00FB0D12"/>
    <w:rsid w:val="00FB1A25"/>
    <w:rsid w:val="00FB3B06"/>
    <w:rsid w:val="00FB3E85"/>
    <w:rsid w:val="00FB6871"/>
    <w:rsid w:val="00FC7B14"/>
    <w:rsid w:val="00FD2A24"/>
    <w:rsid w:val="00FD3D83"/>
    <w:rsid w:val="00FD5B65"/>
    <w:rsid w:val="00FD6FBB"/>
    <w:rsid w:val="00FE2690"/>
    <w:rsid w:val="00FF0050"/>
    <w:rsid w:val="00FF1621"/>
    <w:rsid w:val="00FF3804"/>
    <w:rsid w:val="00FF39B6"/>
    <w:rsid w:val="00FF58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65075"/>
  <w15:docId w15:val="{F006FCE9-42EA-467A-B1B1-08B6E578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65"/>
  </w:style>
  <w:style w:type="paragraph" w:styleId="Heading1">
    <w:name w:val="heading 1"/>
    <w:basedOn w:val="Normal"/>
    <w:next w:val="Normal"/>
    <w:link w:val="Heading1Char"/>
    <w:uiPriority w:val="9"/>
    <w:qFormat/>
    <w:rsid w:val="00FB3B06"/>
    <w:pPr>
      <w:keepNext/>
      <w:keepLines/>
      <w:spacing w:before="480" w:after="0" w:line="240" w:lineRule="auto"/>
      <w:jc w:val="both"/>
      <w:outlineLvl w:val="0"/>
    </w:pPr>
    <w:rPr>
      <w:rFonts w:eastAsiaTheme="majorEastAsia" w:cstheme="majorBidi"/>
      <w:b/>
      <w:bCs/>
      <w:sz w:val="28"/>
      <w:szCs w:val="28"/>
      <w:lang w:eastAsia="hr-HR"/>
    </w:rPr>
  </w:style>
  <w:style w:type="paragraph" w:styleId="Heading2">
    <w:name w:val="heading 2"/>
    <w:basedOn w:val="Normal"/>
    <w:next w:val="Normal"/>
    <w:link w:val="Heading2Char"/>
    <w:uiPriority w:val="9"/>
    <w:unhideWhenUsed/>
    <w:qFormat/>
    <w:rsid w:val="00FB3B06"/>
    <w:pPr>
      <w:keepNext/>
      <w:keepLines/>
      <w:spacing w:before="200" w:after="0" w:line="240" w:lineRule="auto"/>
      <w:jc w:val="both"/>
      <w:outlineLvl w:val="1"/>
    </w:pPr>
    <w:rPr>
      <w:rFonts w:eastAsiaTheme="majorEastAsia" w:cstheme="majorBidi"/>
      <w:b/>
      <w:bCs/>
      <w:sz w:val="24"/>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06"/>
    <w:rPr>
      <w:rFonts w:eastAsiaTheme="majorEastAsia" w:cstheme="majorBidi"/>
      <w:b/>
      <w:bCs/>
      <w:sz w:val="28"/>
      <w:szCs w:val="28"/>
      <w:lang w:eastAsia="hr-HR"/>
    </w:rPr>
  </w:style>
  <w:style w:type="character" w:customStyle="1" w:styleId="Heading2Char">
    <w:name w:val="Heading 2 Char"/>
    <w:basedOn w:val="DefaultParagraphFont"/>
    <w:link w:val="Heading2"/>
    <w:uiPriority w:val="9"/>
    <w:rsid w:val="00FB3B06"/>
    <w:rPr>
      <w:rFonts w:eastAsiaTheme="majorEastAsia" w:cstheme="majorBidi"/>
      <w:b/>
      <w:bCs/>
      <w:sz w:val="24"/>
      <w:szCs w:val="26"/>
      <w:lang w:eastAsia="hr-HR"/>
    </w:rPr>
  </w:style>
  <w:style w:type="numbering" w:customStyle="1" w:styleId="Bezpopisa1">
    <w:name w:val="Bez popisa1"/>
    <w:next w:val="NoList"/>
    <w:uiPriority w:val="99"/>
    <w:semiHidden/>
    <w:unhideWhenUsed/>
    <w:rsid w:val="00FB3B06"/>
  </w:style>
  <w:style w:type="paragraph" w:customStyle="1" w:styleId="Naslov31">
    <w:name w:val="Naslov 31"/>
    <w:basedOn w:val="Heading1"/>
    <w:link w:val="Naslov31Char"/>
    <w:qFormat/>
    <w:rsid w:val="00FB3B06"/>
    <w:rPr>
      <w:b w:val="0"/>
      <w:sz w:val="25"/>
      <w:szCs w:val="25"/>
    </w:rPr>
  </w:style>
  <w:style w:type="character" w:customStyle="1" w:styleId="tijelotekstaChar">
    <w:name w:val="tijelo teksta Char"/>
    <w:link w:val="tijeloteksta"/>
    <w:uiPriority w:val="99"/>
    <w:locked/>
    <w:rsid w:val="00FB3B06"/>
    <w:rPr>
      <w:rFonts w:ascii="Arial" w:hAnsi="Arial"/>
    </w:rPr>
  </w:style>
  <w:style w:type="character" w:customStyle="1" w:styleId="Naslov31Char">
    <w:name w:val="Naslov 31 Char"/>
    <w:basedOn w:val="Heading1Char"/>
    <w:link w:val="Naslov31"/>
    <w:rsid w:val="00FB3B06"/>
    <w:rPr>
      <w:rFonts w:eastAsiaTheme="majorEastAsia" w:cstheme="majorBidi"/>
      <w:b w:val="0"/>
      <w:bCs/>
      <w:sz w:val="25"/>
      <w:szCs w:val="25"/>
      <w:lang w:eastAsia="hr-HR"/>
    </w:rPr>
  </w:style>
  <w:style w:type="paragraph" w:customStyle="1" w:styleId="tijeloteksta">
    <w:name w:val="tijelo teksta"/>
    <w:basedOn w:val="Normal"/>
    <w:link w:val="tijelotekstaChar"/>
    <w:uiPriority w:val="99"/>
    <w:rsid w:val="00FB3B06"/>
    <w:pPr>
      <w:spacing w:after="0" w:line="240" w:lineRule="auto"/>
      <w:jc w:val="both"/>
    </w:pPr>
    <w:rPr>
      <w:rFonts w:ascii="Arial" w:hAnsi="Arial"/>
    </w:rPr>
  </w:style>
  <w:style w:type="paragraph" w:styleId="ListParagraph">
    <w:name w:val="List Paragraph"/>
    <w:basedOn w:val="Normal"/>
    <w:uiPriority w:val="34"/>
    <w:qFormat/>
    <w:rsid w:val="00FB3B06"/>
    <w:pPr>
      <w:spacing w:after="0" w:line="240" w:lineRule="auto"/>
      <w:ind w:left="720"/>
      <w:contextualSpacing/>
      <w:jc w:val="both"/>
    </w:pPr>
    <w:rPr>
      <w:rFonts w:eastAsia="Times New Roman" w:cs="Times New Roman"/>
      <w:sz w:val="24"/>
      <w:szCs w:val="24"/>
      <w:lang w:eastAsia="hr-HR"/>
    </w:rPr>
  </w:style>
  <w:style w:type="paragraph" w:styleId="BodyText">
    <w:name w:val="Body Text"/>
    <w:basedOn w:val="Normal"/>
    <w:link w:val="BodyTextChar"/>
    <w:uiPriority w:val="99"/>
    <w:semiHidden/>
    <w:rsid w:val="00FB3B06"/>
    <w:pPr>
      <w:spacing w:after="120" w:line="240" w:lineRule="auto"/>
      <w:jc w:val="both"/>
    </w:pPr>
    <w:rPr>
      <w:rFonts w:ascii="Arial" w:eastAsia="Times New Roman" w:hAnsi="Arial" w:cs="Times New Roman"/>
      <w:bCs/>
      <w:color w:val="000000"/>
      <w:sz w:val="20"/>
      <w:szCs w:val="24"/>
    </w:rPr>
  </w:style>
  <w:style w:type="character" w:customStyle="1" w:styleId="BodyTextChar">
    <w:name w:val="Body Text Char"/>
    <w:basedOn w:val="DefaultParagraphFont"/>
    <w:link w:val="BodyText"/>
    <w:uiPriority w:val="99"/>
    <w:semiHidden/>
    <w:rsid w:val="00FB3B06"/>
    <w:rPr>
      <w:rFonts w:ascii="Arial" w:eastAsia="Times New Roman" w:hAnsi="Arial" w:cs="Times New Roman"/>
      <w:bCs/>
      <w:color w:val="000000"/>
      <w:sz w:val="20"/>
      <w:szCs w:val="24"/>
    </w:rPr>
  </w:style>
  <w:style w:type="paragraph" w:styleId="Footer">
    <w:name w:val="footer"/>
    <w:basedOn w:val="Normal"/>
    <w:link w:val="FooterChar"/>
    <w:uiPriority w:val="99"/>
    <w:rsid w:val="00FB3B0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FB3B06"/>
    <w:rPr>
      <w:rFonts w:ascii="Times New Roman" w:eastAsia="Times New Roman" w:hAnsi="Times New Roman" w:cs="Times New Roman"/>
      <w:sz w:val="24"/>
      <w:szCs w:val="24"/>
      <w:lang w:eastAsia="hr-HR"/>
    </w:rPr>
  </w:style>
  <w:style w:type="paragraph" w:styleId="Caption">
    <w:name w:val="caption"/>
    <w:basedOn w:val="Normal"/>
    <w:next w:val="Normal"/>
    <w:qFormat/>
    <w:rsid w:val="00FB3B06"/>
    <w:pPr>
      <w:spacing w:before="120" w:after="120" w:line="240" w:lineRule="auto"/>
      <w:ind w:left="1701"/>
      <w:jc w:val="both"/>
    </w:pPr>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B3B06"/>
    <w:pPr>
      <w:spacing w:after="0" w:line="240" w:lineRule="auto"/>
      <w:jc w:val="both"/>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FB3B06"/>
    <w:rPr>
      <w:rFonts w:ascii="Tahoma" w:eastAsia="Times New Roman" w:hAnsi="Tahoma" w:cs="Tahoma"/>
      <w:sz w:val="16"/>
      <w:szCs w:val="16"/>
      <w:lang w:eastAsia="hr-HR"/>
    </w:rPr>
  </w:style>
  <w:style w:type="paragraph" w:customStyle="1" w:styleId="tijelotaksta">
    <w:name w:val="tijelo taksta"/>
    <w:basedOn w:val="Normal"/>
    <w:link w:val="tijelotakstaChar"/>
    <w:qFormat/>
    <w:rsid w:val="00FB3B06"/>
    <w:pPr>
      <w:spacing w:after="0" w:line="240" w:lineRule="auto"/>
      <w:jc w:val="both"/>
    </w:pPr>
    <w:rPr>
      <w:rFonts w:ascii="Calibri" w:eastAsia="Times New Roman" w:hAnsi="Calibri" w:cs="Times New Roman"/>
      <w:sz w:val="24"/>
      <w:szCs w:val="24"/>
      <w:lang w:eastAsia="hr-HR"/>
    </w:rPr>
  </w:style>
  <w:style w:type="character" w:customStyle="1" w:styleId="tijelotakstaChar">
    <w:name w:val="tijelo taksta Char"/>
    <w:basedOn w:val="DefaultParagraphFont"/>
    <w:link w:val="tijelotaksta"/>
    <w:rsid w:val="00FB3B06"/>
    <w:rPr>
      <w:rFonts w:ascii="Calibri" w:eastAsia="Times New Roman" w:hAnsi="Calibri" w:cs="Times New Roman"/>
      <w:sz w:val="24"/>
      <w:szCs w:val="24"/>
      <w:lang w:eastAsia="hr-HR"/>
    </w:rPr>
  </w:style>
  <w:style w:type="character" w:styleId="Hyperlink">
    <w:name w:val="Hyperlink"/>
    <w:basedOn w:val="DefaultParagraphFont"/>
    <w:uiPriority w:val="99"/>
    <w:rsid w:val="00FB3B06"/>
    <w:rPr>
      <w:rFonts w:cs="Times New Roman"/>
      <w:color w:val="0000FF"/>
      <w:u w:val="single"/>
    </w:rPr>
  </w:style>
  <w:style w:type="character" w:customStyle="1" w:styleId="tabliceChar">
    <w:name w:val="tablice Char"/>
    <w:link w:val="tablice"/>
    <w:uiPriority w:val="99"/>
    <w:locked/>
    <w:rsid w:val="00FB3B06"/>
    <w:rPr>
      <w:rFonts w:ascii="Arial" w:hAnsi="Arial"/>
      <w:i/>
    </w:rPr>
  </w:style>
  <w:style w:type="paragraph" w:customStyle="1" w:styleId="tablice">
    <w:name w:val="tablice"/>
    <w:basedOn w:val="Normal"/>
    <w:link w:val="tabliceChar"/>
    <w:uiPriority w:val="99"/>
    <w:rsid w:val="00FB3B06"/>
    <w:pPr>
      <w:spacing w:before="120" w:after="120" w:line="240" w:lineRule="auto"/>
      <w:jc w:val="both"/>
    </w:pPr>
    <w:rPr>
      <w:rFonts w:ascii="Arial" w:hAnsi="Arial"/>
      <w:i/>
    </w:rPr>
  </w:style>
  <w:style w:type="paragraph" w:styleId="TOCHeading">
    <w:name w:val="TOC Heading"/>
    <w:basedOn w:val="Heading1"/>
    <w:next w:val="Normal"/>
    <w:uiPriority w:val="39"/>
    <w:semiHidden/>
    <w:unhideWhenUsed/>
    <w:qFormat/>
    <w:rsid w:val="00FB3B06"/>
    <w:pPr>
      <w:spacing w:line="276"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B3B06"/>
    <w:pPr>
      <w:spacing w:after="100" w:line="240" w:lineRule="auto"/>
      <w:jc w:val="both"/>
    </w:pPr>
    <w:rPr>
      <w:rFonts w:eastAsia="Times New Roman" w:cs="Times New Roman"/>
      <w:sz w:val="24"/>
      <w:szCs w:val="24"/>
      <w:lang w:eastAsia="hr-HR"/>
    </w:rPr>
  </w:style>
  <w:style w:type="paragraph" w:styleId="TOC2">
    <w:name w:val="toc 2"/>
    <w:basedOn w:val="Normal"/>
    <w:next w:val="Normal"/>
    <w:autoRedefine/>
    <w:uiPriority w:val="39"/>
    <w:unhideWhenUsed/>
    <w:rsid w:val="00FB3B06"/>
    <w:pPr>
      <w:spacing w:after="100" w:line="240" w:lineRule="auto"/>
      <w:ind w:left="240"/>
      <w:jc w:val="both"/>
    </w:pPr>
    <w:rPr>
      <w:rFonts w:eastAsia="Times New Roman" w:cs="Times New Roman"/>
      <w:sz w:val="24"/>
      <w:szCs w:val="24"/>
      <w:lang w:eastAsia="hr-HR"/>
    </w:rPr>
  </w:style>
  <w:style w:type="paragraph" w:styleId="Header">
    <w:name w:val="header"/>
    <w:basedOn w:val="Normal"/>
    <w:link w:val="HeaderChar"/>
    <w:uiPriority w:val="99"/>
    <w:unhideWhenUsed/>
    <w:rsid w:val="00FB3B06"/>
    <w:pPr>
      <w:tabs>
        <w:tab w:val="center" w:pos="4536"/>
        <w:tab w:val="right" w:pos="9072"/>
      </w:tabs>
      <w:spacing w:after="0" w:line="240" w:lineRule="auto"/>
      <w:jc w:val="both"/>
    </w:pPr>
    <w:rPr>
      <w:rFonts w:eastAsia="Times New Roman" w:cs="Times New Roman"/>
      <w:sz w:val="24"/>
      <w:szCs w:val="24"/>
      <w:lang w:eastAsia="hr-HR"/>
    </w:rPr>
  </w:style>
  <w:style w:type="character" w:customStyle="1" w:styleId="HeaderChar">
    <w:name w:val="Header Char"/>
    <w:basedOn w:val="DefaultParagraphFont"/>
    <w:link w:val="Header"/>
    <w:uiPriority w:val="99"/>
    <w:rsid w:val="00FB3B06"/>
    <w:rPr>
      <w:rFonts w:eastAsia="Times New Roman" w:cs="Times New Roman"/>
      <w:sz w:val="24"/>
      <w:szCs w:val="24"/>
      <w:lang w:eastAsia="hr-HR"/>
    </w:rPr>
  </w:style>
  <w:style w:type="paragraph" w:customStyle="1" w:styleId="P1">
    <w:name w:val="P 1"/>
    <w:basedOn w:val="Normal"/>
    <w:uiPriority w:val="99"/>
    <w:rsid w:val="00AD013D"/>
    <w:pPr>
      <w:spacing w:before="120" w:after="120" w:line="240" w:lineRule="auto"/>
      <w:ind w:left="567"/>
      <w:jc w:val="both"/>
    </w:pPr>
    <w:rPr>
      <w:rFonts w:ascii="Arial" w:eastAsia="Times New Roman" w:hAnsi="Arial" w:cs="Times New Roman"/>
      <w:color w:val="000000"/>
      <w:sz w:val="20"/>
      <w:szCs w:val="24"/>
    </w:rPr>
  </w:style>
  <w:style w:type="paragraph" w:customStyle="1" w:styleId="Default">
    <w:name w:val="Default"/>
    <w:rsid w:val="001C1FF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single space,footnote text,ft,Footnote Text Char Char Char Char Char Char Char Char Char Char,Tekst fusnote Char2 Char,Tekst fusnote Char1 Char1 Char,Tekst fusnote Char Char Char1 Char,Tekst fusnote Char Char1 Char Char,Fußnote,Podrozdział"/>
    <w:basedOn w:val="Normal"/>
    <w:link w:val="FootnoteTextChar"/>
    <w:uiPriority w:val="99"/>
    <w:rsid w:val="006F63A8"/>
    <w:pPr>
      <w:tabs>
        <w:tab w:val="left" w:pos="284"/>
      </w:tabs>
      <w:spacing w:after="0" w:line="200" w:lineRule="atLeast"/>
      <w:ind w:left="284" w:hanging="284"/>
    </w:pPr>
    <w:rPr>
      <w:rFonts w:ascii="Arial" w:eastAsia="Times New Roman" w:hAnsi="Arial" w:cs="Times New Roman"/>
      <w:sz w:val="14"/>
      <w:szCs w:val="20"/>
      <w:lang w:val="en-US"/>
    </w:rPr>
  </w:style>
  <w:style w:type="character" w:customStyle="1" w:styleId="TekstfusnoteChar">
    <w:name w:val="Tekst fusnote Char"/>
    <w:aliases w:val="Fußnote Char,Podrozdział Char,Fußnotentextf Char,- OP Char"/>
    <w:basedOn w:val="DefaultParagraphFont"/>
    <w:uiPriority w:val="99"/>
    <w:rsid w:val="006F63A8"/>
    <w:rPr>
      <w:sz w:val="20"/>
      <w:szCs w:val="20"/>
    </w:rPr>
  </w:style>
  <w:style w:type="character" w:styleId="FootnoteReference">
    <w:name w:val="footnote reference"/>
    <w:aliases w:val="ftref,BVI fnr,16 Point,Superscript 6 Point"/>
    <w:rsid w:val="006F63A8"/>
    <w:rPr>
      <w:vertAlign w:val="superscript"/>
    </w:rPr>
  </w:style>
  <w:style w:type="character" w:customStyle="1" w:styleId="FootnoteTextChar">
    <w:name w:val="Footnote Text Char"/>
    <w:aliases w:val="single space Char,footnote text Char,ft Char,Footnote Text Char Char Char Char Char Char Char Char Char Char Char,Tekst fusnote Char2 Char Char,Tekst fusnote Char1 Char1 Char Char,Tekst fusnote Char Char Char1 Char Char,Fußnote Char1"/>
    <w:link w:val="FootnoteText"/>
    <w:uiPriority w:val="99"/>
    <w:rsid w:val="006F63A8"/>
    <w:rPr>
      <w:rFonts w:ascii="Arial" w:eastAsia="Times New Roman" w:hAnsi="Arial" w:cs="Times New Roman"/>
      <w:sz w:val="14"/>
      <w:szCs w:val="20"/>
      <w:lang w:val="en-US"/>
    </w:rPr>
  </w:style>
  <w:style w:type="paragraph" w:customStyle="1" w:styleId="Normal1">
    <w:name w:val="Normal1"/>
    <w:rsid w:val="00D712E4"/>
    <w:pPr>
      <w:spacing w:after="0"/>
    </w:pPr>
    <w:rPr>
      <w:rFonts w:ascii="Arial" w:eastAsia="Arial" w:hAnsi="Arial" w:cs="Arial"/>
      <w:color w:val="000000"/>
      <w:lang w:eastAsia="hr-HR"/>
    </w:rPr>
  </w:style>
  <w:style w:type="paragraph" w:styleId="NormalWeb">
    <w:name w:val="Normal (Web)"/>
    <w:basedOn w:val="Normal"/>
    <w:uiPriority w:val="99"/>
    <w:unhideWhenUsed/>
    <w:rsid w:val="00682602"/>
    <w:pPr>
      <w:spacing w:after="0" w:line="240" w:lineRule="auto"/>
    </w:pPr>
    <w:rPr>
      <w:rFonts w:ascii="Times New Roman" w:hAnsi="Times New Roman" w:cs="Times New Roman"/>
      <w:sz w:val="24"/>
      <w:szCs w:val="24"/>
      <w:lang w:eastAsia="hr-HR"/>
    </w:rPr>
  </w:style>
  <w:style w:type="character" w:styleId="Emphasis">
    <w:name w:val="Emphasis"/>
    <w:basedOn w:val="DefaultParagraphFont"/>
    <w:uiPriority w:val="20"/>
    <w:qFormat/>
    <w:rsid w:val="00682602"/>
    <w:rPr>
      <w:i/>
      <w:iCs/>
    </w:rPr>
  </w:style>
  <w:style w:type="character" w:styleId="Strong">
    <w:name w:val="Strong"/>
    <w:basedOn w:val="DefaultParagraphFont"/>
    <w:uiPriority w:val="22"/>
    <w:qFormat/>
    <w:rsid w:val="00682602"/>
    <w:rPr>
      <w:b/>
      <w:bCs/>
    </w:rPr>
  </w:style>
  <w:style w:type="paragraph" w:styleId="NoSpacing">
    <w:name w:val="No Spacing"/>
    <w:link w:val="NoSpacingChar"/>
    <w:uiPriority w:val="1"/>
    <w:qFormat/>
    <w:rsid w:val="000D1544"/>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0D1544"/>
    <w:rPr>
      <w:rFonts w:eastAsiaTheme="minorEastAsia"/>
      <w:lang w:eastAsia="hr-HR"/>
    </w:rPr>
  </w:style>
  <w:style w:type="paragraph" w:styleId="TOC3">
    <w:name w:val="toc 3"/>
    <w:basedOn w:val="Normal"/>
    <w:next w:val="Normal"/>
    <w:autoRedefine/>
    <w:uiPriority w:val="39"/>
    <w:unhideWhenUsed/>
    <w:rsid w:val="008F1A15"/>
    <w:pPr>
      <w:spacing w:after="100"/>
      <w:ind w:left="440"/>
    </w:pPr>
  </w:style>
  <w:style w:type="character" w:styleId="CommentReference">
    <w:name w:val="annotation reference"/>
    <w:basedOn w:val="DefaultParagraphFont"/>
    <w:uiPriority w:val="99"/>
    <w:semiHidden/>
    <w:unhideWhenUsed/>
    <w:rsid w:val="00DC3003"/>
    <w:rPr>
      <w:sz w:val="16"/>
      <w:szCs w:val="16"/>
    </w:rPr>
  </w:style>
  <w:style w:type="paragraph" w:styleId="CommentText">
    <w:name w:val="annotation text"/>
    <w:basedOn w:val="Normal"/>
    <w:link w:val="CommentTextChar"/>
    <w:uiPriority w:val="99"/>
    <w:semiHidden/>
    <w:unhideWhenUsed/>
    <w:rsid w:val="00DC3003"/>
    <w:pPr>
      <w:spacing w:line="240" w:lineRule="auto"/>
    </w:pPr>
    <w:rPr>
      <w:sz w:val="20"/>
      <w:szCs w:val="20"/>
    </w:rPr>
  </w:style>
  <w:style w:type="character" w:customStyle="1" w:styleId="CommentTextChar">
    <w:name w:val="Comment Text Char"/>
    <w:basedOn w:val="DefaultParagraphFont"/>
    <w:link w:val="CommentText"/>
    <w:uiPriority w:val="99"/>
    <w:semiHidden/>
    <w:rsid w:val="00DC3003"/>
    <w:rPr>
      <w:sz w:val="20"/>
      <w:szCs w:val="20"/>
    </w:rPr>
  </w:style>
  <w:style w:type="paragraph" w:styleId="CommentSubject">
    <w:name w:val="annotation subject"/>
    <w:basedOn w:val="CommentText"/>
    <w:next w:val="CommentText"/>
    <w:link w:val="CommentSubjectChar"/>
    <w:uiPriority w:val="99"/>
    <w:semiHidden/>
    <w:unhideWhenUsed/>
    <w:rsid w:val="00DC3003"/>
    <w:rPr>
      <w:b/>
      <w:bCs/>
    </w:rPr>
  </w:style>
  <w:style w:type="character" w:customStyle="1" w:styleId="CommentSubjectChar">
    <w:name w:val="Comment Subject Char"/>
    <w:basedOn w:val="CommentTextChar"/>
    <w:link w:val="CommentSubject"/>
    <w:uiPriority w:val="99"/>
    <w:semiHidden/>
    <w:rsid w:val="00DC3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3208">
      <w:bodyDiv w:val="1"/>
      <w:marLeft w:val="0"/>
      <w:marRight w:val="0"/>
      <w:marTop w:val="0"/>
      <w:marBottom w:val="0"/>
      <w:divBdr>
        <w:top w:val="none" w:sz="0" w:space="0" w:color="auto"/>
        <w:left w:val="none" w:sz="0" w:space="0" w:color="auto"/>
        <w:bottom w:val="none" w:sz="0" w:space="0" w:color="auto"/>
        <w:right w:val="none" w:sz="0" w:space="0" w:color="auto"/>
      </w:divBdr>
      <w:divsChild>
        <w:div w:id="1930042310">
          <w:marLeft w:val="1166"/>
          <w:marRight w:val="0"/>
          <w:marTop w:val="80"/>
          <w:marBottom w:val="0"/>
          <w:divBdr>
            <w:top w:val="none" w:sz="0" w:space="0" w:color="auto"/>
            <w:left w:val="none" w:sz="0" w:space="0" w:color="auto"/>
            <w:bottom w:val="none" w:sz="0" w:space="0" w:color="auto"/>
            <w:right w:val="none" w:sz="0" w:space="0" w:color="auto"/>
          </w:divBdr>
        </w:div>
      </w:divsChild>
    </w:div>
    <w:div w:id="271478607">
      <w:bodyDiv w:val="1"/>
      <w:marLeft w:val="0"/>
      <w:marRight w:val="0"/>
      <w:marTop w:val="0"/>
      <w:marBottom w:val="0"/>
      <w:divBdr>
        <w:top w:val="none" w:sz="0" w:space="0" w:color="auto"/>
        <w:left w:val="none" w:sz="0" w:space="0" w:color="auto"/>
        <w:bottom w:val="none" w:sz="0" w:space="0" w:color="auto"/>
        <w:right w:val="none" w:sz="0" w:space="0" w:color="auto"/>
      </w:divBdr>
      <w:divsChild>
        <w:div w:id="546373882">
          <w:marLeft w:val="0"/>
          <w:marRight w:val="0"/>
          <w:marTop w:val="0"/>
          <w:marBottom w:val="0"/>
          <w:divBdr>
            <w:top w:val="none" w:sz="0" w:space="0" w:color="auto"/>
            <w:left w:val="none" w:sz="0" w:space="0" w:color="auto"/>
            <w:bottom w:val="none" w:sz="0" w:space="0" w:color="auto"/>
            <w:right w:val="none" w:sz="0" w:space="0" w:color="auto"/>
          </w:divBdr>
          <w:divsChild>
            <w:div w:id="417295228">
              <w:marLeft w:val="0"/>
              <w:marRight w:val="0"/>
              <w:marTop w:val="0"/>
              <w:marBottom w:val="0"/>
              <w:divBdr>
                <w:top w:val="none" w:sz="0" w:space="0" w:color="auto"/>
                <w:left w:val="none" w:sz="0" w:space="0" w:color="auto"/>
                <w:bottom w:val="none" w:sz="0" w:space="0" w:color="auto"/>
                <w:right w:val="none" w:sz="0" w:space="0" w:color="auto"/>
              </w:divBdr>
              <w:divsChild>
                <w:div w:id="411435639">
                  <w:marLeft w:val="0"/>
                  <w:marRight w:val="0"/>
                  <w:marTop w:val="0"/>
                  <w:marBottom w:val="0"/>
                  <w:divBdr>
                    <w:top w:val="none" w:sz="0" w:space="0" w:color="auto"/>
                    <w:left w:val="none" w:sz="0" w:space="0" w:color="auto"/>
                    <w:bottom w:val="none" w:sz="0" w:space="0" w:color="auto"/>
                    <w:right w:val="none" w:sz="0" w:space="0" w:color="auto"/>
                  </w:divBdr>
                  <w:divsChild>
                    <w:div w:id="1294022373">
                      <w:marLeft w:val="0"/>
                      <w:marRight w:val="0"/>
                      <w:marTop w:val="0"/>
                      <w:marBottom w:val="0"/>
                      <w:divBdr>
                        <w:top w:val="none" w:sz="0" w:space="0" w:color="auto"/>
                        <w:left w:val="none" w:sz="0" w:space="0" w:color="auto"/>
                        <w:bottom w:val="none" w:sz="0" w:space="0" w:color="auto"/>
                        <w:right w:val="none" w:sz="0" w:space="0" w:color="auto"/>
                      </w:divBdr>
                      <w:divsChild>
                        <w:div w:id="1155144157">
                          <w:marLeft w:val="405"/>
                          <w:marRight w:val="0"/>
                          <w:marTop w:val="0"/>
                          <w:marBottom w:val="0"/>
                          <w:divBdr>
                            <w:top w:val="none" w:sz="0" w:space="0" w:color="auto"/>
                            <w:left w:val="none" w:sz="0" w:space="0" w:color="auto"/>
                            <w:bottom w:val="none" w:sz="0" w:space="0" w:color="auto"/>
                            <w:right w:val="none" w:sz="0" w:space="0" w:color="auto"/>
                          </w:divBdr>
                          <w:divsChild>
                            <w:div w:id="775172191">
                              <w:marLeft w:val="0"/>
                              <w:marRight w:val="0"/>
                              <w:marTop w:val="0"/>
                              <w:marBottom w:val="0"/>
                              <w:divBdr>
                                <w:top w:val="none" w:sz="0" w:space="0" w:color="auto"/>
                                <w:left w:val="none" w:sz="0" w:space="0" w:color="auto"/>
                                <w:bottom w:val="none" w:sz="0" w:space="0" w:color="auto"/>
                                <w:right w:val="none" w:sz="0" w:space="0" w:color="auto"/>
                              </w:divBdr>
                              <w:divsChild>
                                <w:div w:id="725221764">
                                  <w:marLeft w:val="0"/>
                                  <w:marRight w:val="0"/>
                                  <w:marTop w:val="0"/>
                                  <w:marBottom w:val="0"/>
                                  <w:divBdr>
                                    <w:top w:val="none" w:sz="0" w:space="0" w:color="auto"/>
                                    <w:left w:val="none" w:sz="0" w:space="0" w:color="auto"/>
                                    <w:bottom w:val="none" w:sz="0" w:space="0" w:color="auto"/>
                                    <w:right w:val="none" w:sz="0" w:space="0" w:color="auto"/>
                                  </w:divBdr>
                                  <w:divsChild>
                                    <w:div w:id="1226140524">
                                      <w:marLeft w:val="0"/>
                                      <w:marRight w:val="0"/>
                                      <w:marTop w:val="60"/>
                                      <w:marBottom w:val="0"/>
                                      <w:divBdr>
                                        <w:top w:val="none" w:sz="0" w:space="0" w:color="auto"/>
                                        <w:left w:val="none" w:sz="0" w:space="0" w:color="auto"/>
                                        <w:bottom w:val="none" w:sz="0" w:space="0" w:color="auto"/>
                                        <w:right w:val="none" w:sz="0" w:space="0" w:color="auto"/>
                                      </w:divBdr>
                                      <w:divsChild>
                                        <w:div w:id="35399621">
                                          <w:marLeft w:val="0"/>
                                          <w:marRight w:val="0"/>
                                          <w:marTop w:val="0"/>
                                          <w:marBottom w:val="0"/>
                                          <w:divBdr>
                                            <w:top w:val="none" w:sz="0" w:space="0" w:color="auto"/>
                                            <w:left w:val="none" w:sz="0" w:space="0" w:color="auto"/>
                                            <w:bottom w:val="none" w:sz="0" w:space="0" w:color="auto"/>
                                            <w:right w:val="none" w:sz="0" w:space="0" w:color="auto"/>
                                          </w:divBdr>
                                          <w:divsChild>
                                            <w:div w:id="636183876">
                                              <w:marLeft w:val="0"/>
                                              <w:marRight w:val="0"/>
                                              <w:marTop w:val="0"/>
                                              <w:marBottom w:val="0"/>
                                              <w:divBdr>
                                                <w:top w:val="none" w:sz="0" w:space="0" w:color="auto"/>
                                                <w:left w:val="none" w:sz="0" w:space="0" w:color="auto"/>
                                                <w:bottom w:val="none" w:sz="0" w:space="0" w:color="auto"/>
                                                <w:right w:val="none" w:sz="0" w:space="0" w:color="auto"/>
                                              </w:divBdr>
                                              <w:divsChild>
                                                <w:div w:id="468479915">
                                                  <w:marLeft w:val="0"/>
                                                  <w:marRight w:val="0"/>
                                                  <w:marTop w:val="0"/>
                                                  <w:marBottom w:val="0"/>
                                                  <w:divBdr>
                                                    <w:top w:val="none" w:sz="0" w:space="0" w:color="auto"/>
                                                    <w:left w:val="none" w:sz="0" w:space="0" w:color="auto"/>
                                                    <w:bottom w:val="none" w:sz="0" w:space="0" w:color="auto"/>
                                                    <w:right w:val="none" w:sz="0" w:space="0" w:color="auto"/>
                                                  </w:divBdr>
                                                  <w:divsChild>
                                                    <w:div w:id="370690120">
                                                      <w:marLeft w:val="0"/>
                                                      <w:marRight w:val="0"/>
                                                      <w:marTop w:val="0"/>
                                                      <w:marBottom w:val="0"/>
                                                      <w:divBdr>
                                                        <w:top w:val="none" w:sz="0" w:space="0" w:color="auto"/>
                                                        <w:left w:val="none" w:sz="0" w:space="0" w:color="auto"/>
                                                        <w:bottom w:val="none" w:sz="0" w:space="0" w:color="auto"/>
                                                        <w:right w:val="none" w:sz="0" w:space="0" w:color="auto"/>
                                                      </w:divBdr>
                                                      <w:divsChild>
                                                        <w:div w:id="620068273">
                                                          <w:marLeft w:val="0"/>
                                                          <w:marRight w:val="0"/>
                                                          <w:marTop w:val="0"/>
                                                          <w:marBottom w:val="0"/>
                                                          <w:divBdr>
                                                            <w:top w:val="none" w:sz="0" w:space="0" w:color="auto"/>
                                                            <w:left w:val="none" w:sz="0" w:space="0" w:color="auto"/>
                                                            <w:bottom w:val="none" w:sz="0" w:space="0" w:color="auto"/>
                                                            <w:right w:val="none" w:sz="0" w:space="0" w:color="auto"/>
                                                          </w:divBdr>
                                                          <w:divsChild>
                                                            <w:div w:id="406419699">
                                                              <w:marLeft w:val="0"/>
                                                              <w:marRight w:val="0"/>
                                                              <w:marTop w:val="0"/>
                                                              <w:marBottom w:val="0"/>
                                                              <w:divBdr>
                                                                <w:top w:val="none" w:sz="0" w:space="0" w:color="auto"/>
                                                                <w:left w:val="none" w:sz="0" w:space="0" w:color="auto"/>
                                                                <w:bottom w:val="none" w:sz="0" w:space="0" w:color="auto"/>
                                                                <w:right w:val="none" w:sz="0" w:space="0" w:color="auto"/>
                                                              </w:divBdr>
                                                              <w:divsChild>
                                                                <w:div w:id="713314387">
                                                                  <w:marLeft w:val="0"/>
                                                                  <w:marRight w:val="0"/>
                                                                  <w:marTop w:val="0"/>
                                                                  <w:marBottom w:val="0"/>
                                                                  <w:divBdr>
                                                                    <w:top w:val="none" w:sz="0" w:space="0" w:color="auto"/>
                                                                    <w:left w:val="none" w:sz="0" w:space="0" w:color="auto"/>
                                                                    <w:bottom w:val="none" w:sz="0" w:space="0" w:color="auto"/>
                                                                    <w:right w:val="none" w:sz="0" w:space="0" w:color="auto"/>
                                                                  </w:divBdr>
                                                                  <w:divsChild>
                                                                    <w:div w:id="267936319">
                                                                      <w:marLeft w:val="0"/>
                                                                      <w:marRight w:val="0"/>
                                                                      <w:marTop w:val="0"/>
                                                                      <w:marBottom w:val="0"/>
                                                                      <w:divBdr>
                                                                        <w:top w:val="none" w:sz="0" w:space="0" w:color="auto"/>
                                                                        <w:left w:val="none" w:sz="0" w:space="0" w:color="auto"/>
                                                                        <w:bottom w:val="none" w:sz="0" w:space="0" w:color="auto"/>
                                                                        <w:right w:val="none" w:sz="0" w:space="0" w:color="auto"/>
                                                                      </w:divBdr>
                                                                      <w:divsChild>
                                                                        <w:div w:id="52125980">
                                                                          <w:marLeft w:val="0"/>
                                                                          <w:marRight w:val="0"/>
                                                                          <w:marTop w:val="0"/>
                                                                          <w:marBottom w:val="0"/>
                                                                          <w:divBdr>
                                                                            <w:top w:val="none" w:sz="0" w:space="0" w:color="auto"/>
                                                                            <w:left w:val="none" w:sz="0" w:space="0" w:color="auto"/>
                                                                            <w:bottom w:val="none" w:sz="0" w:space="0" w:color="auto"/>
                                                                            <w:right w:val="none" w:sz="0" w:space="0" w:color="auto"/>
                                                                          </w:divBdr>
                                                                          <w:divsChild>
                                                                            <w:div w:id="1660111747">
                                                                              <w:marLeft w:val="0"/>
                                                                              <w:marRight w:val="0"/>
                                                                              <w:marTop w:val="0"/>
                                                                              <w:marBottom w:val="0"/>
                                                                              <w:divBdr>
                                                                                <w:top w:val="none" w:sz="0" w:space="0" w:color="auto"/>
                                                                                <w:left w:val="none" w:sz="0" w:space="0" w:color="auto"/>
                                                                                <w:bottom w:val="none" w:sz="0" w:space="0" w:color="auto"/>
                                                                                <w:right w:val="none" w:sz="0" w:space="0" w:color="auto"/>
                                                                              </w:divBdr>
                                                                              <w:divsChild>
                                                                                <w:div w:id="15984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4040">
      <w:bodyDiv w:val="1"/>
      <w:marLeft w:val="0"/>
      <w:marRight w:val="0"/>
      <w:marTop w:val="0"/>
      <w:marBottom w:val="0"/>
      <w:divBdr>
        <w:top w:val="none" w:sz="0" w:space="0" w:color="auto"/>
        <w:left w:val="none" w:sz="0" w:space="0" w:color="auto"/>
        <w:bottom w:val="none" w:sz="0" w:space="0" w:color="auto"/>
        <w:right w:val="none" w:sz="0" w:space="0" w:color="auto"/>
      </w:divBdr>
      <w:divsChild>
        <w:div w:id="1966232543">
          <w:marLeft w:val="0"/>
          <w:marRight w:val="0"/>
          <w:marTop w:val="0"/>
          <w:marBottom w:val="0"/>
          <w:divBdr>
            <w:top w:val="none" w:sz="0" w:space="0" w:color="auto"/>
            <w:left w:val="none" w:sz="0" w:space="0" w:color="auto"/>
            <w:bottom w:val="none" w:sz="0" w:space="0" w:color="auto"/>
            <w:right w:val="none" w:sz="0" w:space="0" w:color="auto"/>
          </w:divBdr>
        </w:div>
      </w:divsChild>
    </w:div>
    <w:div w:id="828903139">
      <w:bodyDiv w:val="1"/>
      <w:marLeft w:val="0"/>
      <w:marRight w:val="0"/>
      <w:marTop w:val="0"/>
      <w:marBottom w:val="0"/>
      <w:divBdr>
        <w:top w:val="none" w:sz="0" w:space="0" w:color="auto"/>
        <w:left w:val="none" w:sz="0" w:space="0" w:color="auto"/>
        <w:bottom w:val="none" w:sz="0" w:space="0" w:color="auto"/>
        <w:right w:val="none" w:sz="0" w:space="0" w:color="auto"/>
      </w:divBdr>
    </w:div>
    <w:div w:id="1370032814">
      <w:bodyDiv w:val="1"/>
      <w:marLeft w:val="0"/>
      <w:marRight w:val="0"/>
      <w:marTop w:val="0"/>
      <w:marBottom w:val="0"/>
      <w:divBdr>
        <w:top w:val="none" w:sz="0" w:space="0" w:color="auto"/>
        <w:left w:val="none" w:sz="0" w:space="0" w:color="auto"/>
        <w:bottom w:val="none" w:sz="0" w:space="0" w:color="auto"/>
        <w:right w:val="none" w:sz="0" w:space="0" w:color="auto"/>
      </w:divBdr>
      <w:divsChild>
        <w:div w:id="273053696">
          <w:marLeft w:val="0"/>
          <w:marRight w:val="0"/>
          <w:marTop w:val="0"/>
          <w:marBottom w:val="0"/>
          <w:divBdr>
            <w:top w:val="none" w:sz="0" w:space="0" w:color="auto"/>
            <w:left w:val="none" w:sz="0" w:space="0" w:color="auto"/>
            <w:bottom w:val="none" w:sz="0" w:space="0" w:color="auto"/>
            <w:right w:val="none" w:sz="0" w:space="0" w:color="auto"/>
          </w:divBdr>
        </w:div>
      </w:divsChild>
    </w:div>
    <w:div w:id="1425611472">
      <w:bodyDiv w:val="1"/>
      <w:marLeft w:val="0"/>
      <w:marRight w:val="0"/>
      <w:marTop w:val="0"/>
      <w:marBottom w:val="0"/>
      <w:divBdr>
        <w:top w:val="none" w:sz="0" w:space="0" w:color="auto"/>
        <w:left w:val="none" w:sz="0" w:space="0" w:color="auto"/>
        <w:bottom w:val="none" w:sz="0" w:space="0" w:color="auto"/>
        <w:right w:val="none" w:sz="0" w:space="0" w:color="auto"/>
      </w:divBdr>
    </w:div>
    <w:div w:id="17962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okalni.proracuni@mfin.hr" TargetMode="External"/><Relationship Id="rId18" Type="http://schemas.openxmlformats.org/officeDocument/2006/relationships/hyperlink" Target="https://mf73/owa/redir.aspx?SURL=yAjl73DuCw7lPRZ6ByOKphdN-zS-8Mrc_vxy7U9JVCeAkaXAnMrTCGgAdAB0AHAAcwA6AC8ALwB3AHcAdwAzAC4AYQBwAGkAcwAtAGkAdAAuAGgAcgAvAHcAYQBiAC8AcwBlAHIAdgBsAGUAdAAvAHAAcgBvAHcAZQBiAC8AdwBlAGIAagBsAHAAcgBzAC8ATABvAGcASQBOAA..&amp;URL=https%3a%2f%2fwww3.apis-it.hr%2fwab%2fservlet%2fproweb%2fwebjlprs%2fLogI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fin.hr/hr/lokalna-samouprava" TargetMode="External"/><Relationship Id="rId17" Type="http://schemas.openxmlformats.org/officeDocument/2006/relationships/hyperlink" Target="mailto:lokalni.proracuni@mfin.hr" TargetMode="External"/><Relationship Id="rId2" Type="http://schemas.openxmlformats.org/officeDocument/2006/relationships/numbering" Target="numbering.xml"/><Relationship Id="rId16" Type="http://schemas.openxmlformats.org/officeDocument/2006/relationships/hyperlink" Target="http://www.revizija.hr/hr/kontakt/" TargetMode="External"/><Relationship Id="rId20" Type="http://schemas.openxmlformats.org/officeDocument/2006/relationships/hyperlink" Target="http://www.mfin.hr/hr/lokalna-samoupr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in.hr/hr/upute-za-izradu-proracuna-jlprs-arhiva" TargetMode="External"/><Relationship Id="rId5" Type="http://schemas.openxmlformats.org/officeDocument/2006/relationships/webSettings" Target="webSettings.xml"/><Relationship Id="rId15" Type="http://schemas.openxmlformats.org/officeDocument/2006/relationships/hyperlink" Target="mailto:lokalni.proracuni@mfin.hr" TargetMode="External"/><Relationship Id="rId23" Type="http://schemas.openxmlformats.org/officeDocument/2006/relationships/theme" Target="theme/theme1.xml"/><Relationship Id="rId10" Type="http://schemas.openxmlformats.org/officeDocument/2006/relationships/hyperlink" Target="http://www.mfin.hr/hr/smjernice-ekonomske-i-fiskalne-politike" TargetMode="External"/><Relationship Id="rId19" Type="http://schemas.openxmlformats.org/officeDocument/2006/relationships/hyperlink" Target="http://www.mfin.hr/hr/elektronicka-dostava-planova-proracuna-jlprs-uput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okalni.proracuni@mfin.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61C4-058F-4A98-8FAD-8AFA2791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6083</Words>
  <Characters>34675</Characters>
  <Application>Microsoft Office Word</Application>
  <DocSecurity>0</DocSecurity>
  <Lines>288</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Korisnik</cp:lastModifiedBy>
  <cp:revision>2</cp:revision>
  <cp:lastPrinted>2019-09-06T09:14:00Z</cp:lastPrinted>
  <dcterms:created xsi:type="dcterms:W3CDTF">2020-03-09T07:05:00Z</dcterms:created>
  <dcterms:modified xsi:type="dcterms:W3CDTF">2020-03-09T07:05:00Z</dcterms:modified>
</cp:coreProperties>
</file>